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df-20260720.htm"/>
      <w:bookmarkStart w:id="1" w:name="kscrdf20260720"/>
      <w:bookmarkEnd w:id="0"/>
      <w:bookmarkEnd w:id="1"/>
      <w:r>
        <w:rPr/>
        <w:t> </w:t>
      </w:r>
    </w:p>
    <w:p>
      <w:pPr>
        <w:pStyle w:val="TextBody"/>
        <w:bidi w:val="0"/>
        <w:jc w:val="center"/>
        <w:rPr>
          <w:rFonts w:ascii="Times New Roman" w:hAnsi="Times New Roman"/>
          <w:b/>
          <w:color w:val="000000"/>
          <w:sz w:val="16"/>
        </w:rPr>
      </w:pPr>
      <w:bookmarkStart w:id="2" w:name="section1"/>
      <w:bookmarkEnd w:id="2"/>
      <w:r>
        <w:rPr>
          <w:rFonts w:ascii="Times New Roman" w:hAnsi="Times New Roman"/>
          <w:b/>
          <w:color w:val="000000"/>
          <w:sz w:val="16"/>
        </w:rPr>
        <w:t>As filed with the U.S. Securities and Exchange Commission on July 21, 2026</w:t>
      </w:r>
    </w:p>
    <w:p>
      <w:pPr>
        <w:pStyle w:val="TextBody"/>
        <w:bidi w:val="0"/>
        <w:spacing w:before="0" w:after="100"/>
        <w:jc w:val="right"/>
        <w:rPr>
          <w:rFonts w:ascii="Times New Roman" w:hAnsi="Times New Roman"/>
          <w:b/>
          <w:color w:val="000000"/>
          <w:sz w:val="16"/>
        </w:rPr>
      </w:pPr>
      <w:r>
        <w:rPr>
          <w:rFonts w:ascii="Times New Roman" w:hAnsi="Times New Roman"/>
          <w:b/>
          <w:color w:val="000000"/>
          <w:sz w:val="16"/>
        </w:rPr>
        <w:t>Registration No. 333-</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Washington, DC 20549</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24"/>
        </w:rPr>
      </w:pPr>
      <w:r>
        <w:rPr>
          <w:rFonts w:ascii="Times New Roman" w:hAnsi="Times New Roman"/>
          <w:b/>
          <w:color w:val="000000"/>
          <w:sz w:val="24"/>
        </w:rPr>
        <w:t>REGISTRATION STATEMENT</w:t>
      </w:r>
    </w:p>
    <w:p>
      <w:pPr>
        <w:pStyle w:val="TextBody"/>
        <w:bidi w:val="0"/>
        <w:jc w:val="center"/>
        <w:rPr>
          <w:rFonts w:ascii="Times New Roman" w:hAnsi="Times New Roman"/>
          <w:b/>
          <w:color w:val="000000"/>
          <w:sz w:val="24"/>
        </w:rPr>
      </w:pPr>
      <w:r>
        <w:rPr>
          <w:rFonts w:ascii="Times New Roman" w:hAnsi="Times New Roman"/>
          <w:b/>
          <w:color w:val="000000"/>
          <w:sz w:val="24"/>
        </w:rPr>
        <w:t>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ACT OF 1933</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Cardiff Oncology,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tbl>
      <w:tblPr>
        <w:tblW w:w="4018" w:type="dxa"/>
        <w:jc w:val="left"/>
        <w:tblInd w:w="0" w:type="dxa"/>
        <w:tblLayout w:type="fixed"/>
        <w:tblCellMar>
          <w:top w:w="28" w:type="dxa"/>
          <w:left w:w="28" w:type="dxa"/>
          <w:bottom w:w="28" w:type="dxa"/>
          <w:right w:w="28" w:type="dxa"/>
        </w:tblCellMar>
      </w:tblPr>
      <w:tblGrid>
        <w:gridCol w:w="2431"/>
        <w:gridCol w:w="146"/>
        <w:gridCol w:w="144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27-2004382</w:t>
            </w:r>
          </w:p>
        </w:tc>
      </w:tr>
      <w:tr>
        <w:trPr/>
        <w:tc>
          <w:tcPr>
            <w:tcW w:w="243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(State or other jurisdiction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IRS Employer</w:t>
            </w:r>
          </w:p>
        </w:tc>
      </w:tr>
      <w:tr>
        <w:trPr/>
        <w:tc>
          <w:tcPr>
            <w:tcW w:w="243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11055 Flintkote Avenue</w:t>
      </w:r>
    </w:p>
    <w:p>
      <w:pPr>
        <w:pStyle w:val="TextBody"/>
        <w:bidi w:val="0"/>
        <w:jc w:val="center"/>
        <w:rPr>
          <w:rFonts w:ascii="Times New Roman" w:hAnsi="Times New Roman"/>
          <w:b/>
          <w:color w:val="000000"/>
          <w:sz w:val="16"/>
        </w:rPr>
      </w:pPr>
      <w:r>
        <w:rPr>
          <w:rFonts w:ascii="Times New Roman" w:hAnsi="Times New Roman"/>
          <w:b/>
          <w:color w:val="000000"/>
          <w:sz w:val="16"/>
        </w:rPr>
        <w:t>San Diego, CA 92121</w:t>
      </w:r>
    </w:p>
    <w:p>
      <w:pPr>
        <w:pStyle w:val="TextBody"/>
        <w:bidi w:val="0"/>
        <w:jc w:val="center"/>
        <w:rPr>
          <w:rFonts w:ascii="Times New Roman" w:hAnsi="Times New Roman"/>
          <w:b/>
          <w:color w:val="000000"/>
          <w:sz w:val="16"/>
        </w:rPr>
      </w:pPr>
      <w:r>
        <w:rPr>
          <w:rFonts w:ascii="Times New Roman" w:hAnsi="Times New Roman"/>
          <w:b/>
          <w:color w:val="000000"/>
          <w:sz w:val="16"/>
        </w:rPr>
        <w:t>(858) 952-7570</w:t>
      </w:r>
    </w:p>
    <w:p>
      <w:pPr>
        <w:pStyle w:val="TextBody"/>
        <w:bidi w:val="0"/>
        <w:spacing w:before="0" w:after="80"/>
        <w:jc w:val="center"/>
        <w:rPr>
          <w:rFonts w:ascii="Times New Roman" w:hAnsi="Times New Roman"/>
          <w:color w:val="000000"/>
          <w:sz w:val="16"/>
        </w:rPr>
      </w:pPr>
      <w:r>
        <w:rPr>
          <w:rFonts w:ascii="Times New Roman" w:hAnsi="Times New Roman"/>
          <w:color w:val="000000"/>
          <w:sz w:val="16"/>
        </w:rPr>
        <w:t>(Address, including zip code, and telephone number, including area code, of registrant’s principal executive offices)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Cardiff Oncology, Inc. Employee Stock Option Agreements</w:t>
      </w:r>
    </w:p>
    <w:p>
      <w:pPr>
        <w:pStyle w:val="TextBody"/>
        <w:bidi w:val="0"/>
        <w:jc w:val="center"/>
        <w:rPr>
          <w:rFonts w:ascii="Times New Roman" w:hAnsi="Times New Roman"/>
          <w:b/>
          <w:color w:val="000000"/>
          <w:sz w:val="16"/>
        </w:rPr>
      </w:pPr>
      <w:r>
        <w:rPr>
          <w:rFonts w:ascii="Times New Roman" w:hAnsi="Times New Roman"/>
          <w:b/>
          <w:color w:val="000000"/>
          <w:sz w:val="16"/>
        </w:rPr>
        <w:t>2021 Omnibus Equity Incentive Plan</w:t>
      </w:r>
    </w:p>
    <w:p>
      <w:pPr>
        <w:pStyle w:val="TextBody"/>
        <w:bidi w:val="0"/>
        <w:jc w:val="center"/>
        <w:rPr>
          <w:rFonts w:ascii="Times New Roman" w:hAnsi="Times New Roman"/>
          <w:sz w:val="20"/>
        </w:rPr>
      </w:pPr>
      <w:r>
        <w:rPr>
          <w:rFonts w:ascii="Times New Roman" w:hAnsi="Times New Roman"/>
          <w:color w:val="000000"/>
          <w:sz w:val="16"/>
        </w:rPr>
        <w:t>(Full title of the pla</w:t>
      </w:r>
      <w:r>
        <w:rPr>
          <w:rFonts w:ascii="Times New Roman" w:hAnsi="Times New Roman"/>
          <w:b/>
          <w:color w:val="000000"/>
          <w:sz w:val="16"/>
        </w:rPr>
        <w:t>n)</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16"/>
        </w:rPr>
      </w:pPr>
      <w:r>
        <w:rPr>
          <w:rFonts w:ascii="Times New Roman" w:hAnsi="Times New Roman"/>
          <w:b/>
          <w:color w:val="000000"/>
          <w:sz w:val="16"/>
        </w:rPr>
        <w:t>Mani Mohindru</w:t>
      </w:r>
    </w:p>
    <w:p>
      <w:pPr>
        <w:pStyle w:val="TextBody"/>
        <w:bidi w:val="0"/>
        <w:jc w:val="center"/>
        <w:rPr>
          <w:rFonts w:ascii="Times New Roman" w:hAnsi="Times New Roman"/>
          <w:b/>
          <w:color w:val="000000"/>
          <w:sz w:val="16"/>
        </w:rPr>
      </w:pPr>
      <w:r>
        <w:rPr>
          <w:rFonts w:ascii="Times New Roman" w:hAnsi="Times New Roman"/>
          <w:b/>
          <w:color w:val="000000"/>
          <w:sz w:val="16"/>
        </w:rPr>
        <w:t>Chief Executive Officer</w:t>
      </w:r>
    </w:p>
    <w:p>
      <w:pPr>
        <w:pStyle w:val="TextBody"/>
        <w:bidi w:val="0"/>
        <w:jc w:val="center"/>
        <w:rPr>
          <w:rFonts w:ascii="Times New Roman" w:hAnsi="Times New Roman"/>
          <w:b/>
          <w:color w:val="000000"/>
          <w:sz w:val="16"/>
        </w:rPr>
      </w:pPr>
      <w:r>
        <w:rPr>
          <w:rFonts w:ascii="Times New Roman" w:hAnsi="Times New Roman"/>
          <w:b/>
          <w:color w:val="000000"/>
          <w:sz w:val="16"/>
        </w:rPr>
        <w:t>Cardiff Oncology, Inc.</w:t>
      </w:r>
    </w:p>
    <w:p>
      <w:pPr>
        <w:pStyle w:val="TextBody"/>
        <w:bidi w:val="0"/>
        <w:jc w:val="center"/>
        <w:rPr>
          <w:rFonts w:ascii="Times New Roman" w:hAnsi="Times New Roman"/>
          <w:b/>
          <w:color w:val="000000"/>
          <w:sz w:val="16"/>
        </w:rPr>
      </w:pPr>
      <w:r>
        <w:rPr>
          <w:rFonts w:ascii="Times New Roman" w:hAnsi="Times New Roman"/>
          <w:b/>
          <w:color w:val="000000"/>
          <w:sz w:val="16"/>
        </w:rPr>
        <w:t>11055 Flintkote Avenue</w:t>
      </w:r>
    </w:p>
    <w:p>
      <w:pPr>
        <w:pStyle w:val="TextBody"/>
        <w:bidi w:val="0"/>
        <w:jc w:val="center"/>
        <w:rPr>
          <w:rFonts w:ascii="Times New Roman" w:hAnsi="Times New Roman"/>
          <w:b/>
          <w:color w:val="000000"/>
          <w:sz w:val="16"/>
        </w:rPr>
      </w:pPr>
      <w:r>
        <w:rPr>
          <w:rFonts w:ascii="Times New Roman" w:hAnsi="Times New Roman"/>
          <w:b/>
          <w:color w:val="000000"/>
          <w:sz w:val="16"/>
        </w:rPr>
        <w:t>San Diego, CA 92121</w:t>
      </w:r>
    </w:p>
    <w:p>
      <w:pPr>
        <w:pStyle w:val="TextBody"/>
        <w:bidi w:val="0"/>
        <w:jc w:val="center"/>
        <w:rPr>
          <w:rFonts w:ascii="Times New Roman" w:hAnsi="Times New Roman"/>
          <w:b/>
          <w:color w:val="000000"/>
          <w:sz w:val="16"/>
        </w:rPr>
      </w:pPr>
      <w:r>
        <w:rPr>
          <w:rFonts w:ascii="Times New Roman" w:hAnsi="Times New Roman"/>
          <w:b/>
          <w:color w:val="000000"/>
          <w:sz w:val="16"/>
        </w:rPr>
        <w:t>(858) 952-7570</w:t>
      </w:r>
    </w:p>
    <w:p>
      <w:pPr>
        <w:pStyle w:val="TextBody"/>
        <w:bidi w:val="0"/>
        <w:spacing w:before="0" w:after="80"/>
        <w:jc w:val="center"/>
        <w:rPr>
          <w:rFonts w:ascii="Times New Roman" w:hAnsi="Times New Roman"/>
          <w:color w:val="000000"/>
          <w:sz w:val="16"/>
        </w:rPr>
      </w:pPr>
      <w:r>
        <w:rPr>
          <w:rFonts w:ascii="Times New Roman" w:hAnsi="Times New Roman"/>
          <w:color w:val="000000"/>
          <w:sz w:val="16"/>
        </w:rPr>
        <w:t>(Name and address of agent for service)</w:t>
      </w:r>
    </w:p>
    <w:p>
      <w:pPr>
        <w:pStyle w:val="TextBody"/>
        <w:bidi w:val="0"/>
        <w:spacing w:before="0" w:after="80"/>
        <w:jc w:val="center"/>
        <w:rPr>
          <w:rFonts w:ascii="Times New Roman" w:hAnsi="Times New Roman"/>
          <w:b/>
          <w:color w:val="000000"/>
          <w:sz w:val="16"/>
        </w:rPr>
      </w:pPr>
      <w:r>
        <w:rPr>
          <w:rFonts w:ascii="Times New Roman" w:hAnsi="Times New Roman"/>
          <w:b/>
          <w:color w:val="000000"/>
          <w:sz w:val="16"/>
        </w:rPr>
        <w:t>(858) 952-7570</w:t>
      </w:r>
    </w:p>
    <w:p>
      <w:pPr>
        <w:pStyle w:val="TextBody"/>
        <w:bidi w:val="0"/>
        <w:spacing w:before="0" w:after="80"/>
        <w:jc w:val="center"/>
        <w:rPr>
          <w:rFonts w:ascii="Times New Roman" w:hAnsi="Times New Roman"/>
          <w:color w:val="000000"/>
          <w:sz w:val="16"/>
        </w:rPr>
      </w:pPr>
      <w:r>
        <w:rPr>
          <w:rFonts w:ascii="Times New Roman" w:hAnsi="Times New Roman"/>
          <w:color w:val="000000"/>
          <w:sz w:val="16"/>
        </w:rPr>
        <w:t>(Telephone number, including area code, of agent for service)</w:t>
      </w:r>
    </w:p>
    <w:p>
      <w:pPr>
        <w:pStyle w:val="TextBody"/>
        <w:bidi w:val="0"/>
        <w:spacing w:before="0" w:after="80"/>
        <w:jc w:val="center"/>
        <w:rPr>
          <w:rFonts w:ascii="Times New Roman" w:hAnsi="Times New Roman"/>
          <w:b/>
          <w:color w:val="000000"/>
          <w:sz w:val="16"/>
        </w:rPr>
      </w:pPr>
      <w:r>
        <w:rPr>
          <w:rFonts w:ascii="Times New Roman" w:hAnsi="Times New Roman"/>
          <w:b/>
          <w:color w:val="000000"/>
          <w:sz w:val="16"/>
        </w:rPr>
        <w:t>With copies to:</w:t>
      </w:r>
    </w:p>
    <w:p>
      <w:pPr>
        <w:pStyle w:val="TextBody"/>
        <w:bidi w:val="0"/>
        <w:jc w:val="center"/>
        <w:rPr>
          <w:rFonts w:ascii="Times New Roman" w:hAnsi="Times New Roman"/>
          <w:b/>
          <w:color w:val="000000"/>
          <w:sz w:val="16"/>
        </w:rPr>
      </w:pPr>
      <w:r>
        <w:rPr>
          <w:rFonts w:ascii="Times New Roman" w:hAnsi="Times New Roman"/>
          <w:b/>
          <w:color w:val="000000"/>
          <w:sz w:val="16"/>
        </w:rPr>
        <w:t>Jeffrey J. Fessler, Esq.</w:t>
      </w:r>
    </w:p>
    <w:p>
      <w:pPr>
        <w:pStyle w:val="TextBody"/>
        <w:bidi w:val="0"/>
        <w:jc w:val="center"/>
        <w:rPr>
          <w:rFonts w:ascii="Times New Roman" w:hAnsi="Times New Roman"/>
          <w:b/>
          <w:color w:val="000000"/>
          <w:sz w:val="16"/>
        </w:rPr>
      </w:pPr>
      <w:r>
        <w:rPr>
          <w:rFonts w:ascii="Times New Roman" w:hAnsi="Times New Roman"/>
          <w:b/>
          <w:color w:val="000000"/>
          <w:sz w:val="16"/>
        </w:rPr>
        <w:t>Sheppard, Mullin, Richter &amp; Hampton LLP</w:t>
      </w:r>
    </w:p>
    <w:p>
      <w:pPr>
        <w:pStyle w:val="TextBody"/>
        <w:bidi w:val="0"/>
        <w:jc w:val="center"/>
        <w:rPr>
          <w:rFonts w:ascii="Times New Roman" w:hAnsi="Times New Roman"/>
          <w:b/>
          <w:color w:val="000000"/>
          <w:sz w:val="16"/>
        </w:rPr>
      </w:pPr>
      <w:r>
        <w:rPr>
          <w:rFonts w:ascii="Times New Roman" w:hAnsi="Times New Roman"/>
          <w:b/>
          <w:color w:val="000000"/>
          <w:sz w:val="16"/>
        </w:rPr>
        <w:t>30 Rockefeller Plaza, 39th Floor</w:t>
      </w:r>
    </w:p>
    <w:p>
      <w:pPr>
        <w:pStyle w:val="TextBody"/>
        <w:bidi w:val="0"/>
        <w:jc w:val="center"/>
        <w:rPr>
          <w:rFonts w:ascii="Times New Roman" w:hAnsi="Times New Roman"/>
          <w:b/>
          <w:color w:val="000000"/>
          <w:sz w:val="16"/>
        </w:rPr>
      </w:pPr>
      <w:r>
        <w:rPr>
          <w:rFonts w:ascii="Times New Roman" w:hAnsi="Times New Roman"/>
          <w:b/>
          <w:color w:val="000000"/>
          <w:sz w:val="16"/>
        </w:rPr>
        <w:t>New York, New York 10112</w:t>
      </w:r>
    </w:p>
    <w:p>
      <w:pPr>
        <w:pStyle w:val="TextBody"/>
        <w:bidi w:val="0"/>
        <w:jc w:val="center"/>
        <w:rPr>
          <w:rFonts w:ascii="Times New Roman" w:hAnsi="Times New Roman"/>
          <w:b/>
          <w:color w:val="000000"/>
          <w:sz w:val="16"/>
        </w:rPr>
      </w:pPr>
      <w:r>
        <w:rPr>
          <w:rFonts w:ascii="Times New Roman" w:hAnsi="Times New Roman"/>
          <w:b/>
          <w:color w:val="000000"/>
          <w:sz w:val="16"/>
        </w:rPr>
        <w:t>(212) 653-8700</w:t>
      </w:r>
    </w:p>
    <w:p>
      <w:pPr>
        <w:pStyle w:val="TextBody"/>
        <w:bidi w:val="0"/>
        <w:jc w:val="center"/>
        <w:rPr/>
      </w:pPr>
      <w:r>
        <w:rPr/>
        <w:t> </w:t>
      </w:r>
    </w:p>
    <w:p>
      <w:pPr>
        <w:pStyle w:val="TextBody"/>
        <w:bidi w:val="0"/>
        <w:spacing w:before="0" w:after="120"/>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273" w:type="dxa"/>
        <w:jc w:val="left"/>
        <w:tblInd w:w="0" w:type="dxa"/>
        <w:tblLayout w:type="fixed"/>
        <w:tblCellMar>
          <w:top w:w="28" w:type="dxa"/>
          <w:left w:w="28" w:type="dxa"/>
          <w:bottom w:w="28" w:type="dxa"/>
          <w:right w:w="28" w:type="dxa"/>
        </w:tblCellMar>
      </w:tblPr>
      <w:tblGrid>
        <w:gridCol w:w="1861"/>
        <w:gridCol w:w="146"/>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sz w:val="16"/>
              </w:rPr>
            </w:pPr>
            <w:r>
              <w:rPr>
                <w:rFonts w:ascii="Times New Roman" w:hAnsi="Times New Roman"/>
                <w:color w:val="000000"/>
                <w:sz w:val="16"/>
              </w:rPr>
              <w:t xml:space="preserve">Large accelerated filer </w:t>
            </w:r>
            <w:r>
              <w:rPr>
                <w:rFonts w:ascii="Wingdings;serif" w:hAnsi="Wingdings;serif"/>
                <w:color w:val="000000"/>
                <w:sz w:val="16"/>
              </w:rPr>
              <w: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sz w:val="16"/>
              </w:rPr>
            </w:pPr>
            <w:r>
              <w:rPr>
                <w:rFonts w:ascii="Times New Roman" w:hAnsi="Times New Roman"/>
                <w:color w:val="000000"/>
                <w:sz w:val="16"/>
              </w:rPr>
              <w:t xml:space="preserve">Accelerated filer </w:t>
            </w:r>
            <w:r>
              <w:rPr>
                <w:rFonts w:ascii="Wingdings;serif" w:hAnsi="Wingdings;serif"/>
                <w:color w:val="000000"/>
                <w:sz w:val="16"/>
              </w:rPr>
              <w:t>o</w:t>
            </w:r>
          </w:p>
        </w:tc>
      </w:tr>
      <w:tr>
        <w:trPr/>
        <w:tc>
          <w:tcPr>
            <w:tcW w:w="186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sz w:val="16"/>
              </w:rPr>
            </w:pPr>
            <w:r>
              <w:rPr>
                <w:rFonts w:ascii="Times New Roman" w:hAnsi="Times New Roman"/>
                <w:color w:val="000000"/>
                <w:sz w:val="16"/>
              </w:rPr>
              <w:t xml:space="preserve">Non-accelerated filer </w:t>
            </w:r>
            <w:r>
              <w:rPr>
                <w:rFonts w:ascii="Wingdings;serif" w:hAnsi="Wingdings;serif"/>
                <w:color w:val="000000"/>
                <w:sz w:val="16"/>
              </w:rPr>
              <w:t>ý</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sz w:val="16"/>
              </w:rPr>
            </w:pPr>
            <w:r>
              <w:rPr>
                <w:rFonts w:ascii="Times New Roman" w:hAnsi="Times New Roman"/>
                <w:color w:val="000000"/>
                <w:sz w:val="16"/>
              </w:rPr>
              <w:t xml:space="preserve">Smaller reporting company </w:t>
            </w:r>
            <w:r>
              <w:rPr>
                <w:rFonts w:ascii="Wingdings;serif" w:hAnsi="Wingdings;serif"/>
                <w:color w:val="000000"/>
                <w:sz w:val="16"/>
              </w:rPr>
              <w:t>ý</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sz w:val="16"/>
              </w:rPr>
            </w:pPr>
            <w:r>
              <w:rPr>
                <w:rFonts w:ascii="Times New Roman" w:hAnsi="Times New Roman"/>
                <w:color w:val="000000"/>
                <w:sz w:val="16"/>
              </w:rPr>
              <w:t xml:space="preserve">Emerging growth company </w:t>
            </w:r>
            <w:r>
              <w:rPr>
                <w:rFonts w:ascii="Wingdings;serif" w:hAnsi="Wingdings;serif"/>
                <w:color w:val="000000"/>
                <w:sz w:val="16"/>
              </w:rPr>
              <w:t>o</w:t>
            </w:r>
          </w:p>
        </w:tc>
      </w:tr>
    </w:tbl>
    <w:p>
      <w:pPr>
        <w:pStyle w:val="TextBody"/>
        <w:bidi w:val="0"/>
        <w:spacing w:before="0" w:after="8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Wingdings;serif" w:hAnsi="Wingdings;serif"/>
          <w:color w:val="000000"/>
          <w:sz w:val="16"/>
        </w:rPr>
        <w: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 w:name="section2"/>
      <w:bookmarkEnd w:id="3"/>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7397" w:type="dxa"/>
        <w:jc w:val="left"/>
        <w:tblInd w:w="0" w:type="dxa"/>
        <w:tblLayout w:type="fixed"/>
        <w:tblCellMar>
          <w:top w:w="28" w:type="dxa"/>
          <w:left w:w="28" w:type="dxa"/>
          <w:bottom w:w="28" w:type="dxa"/>
          <w:right w:w="28" w:type="dxa"/>
        </w:tblCellMar>
      </w:tblPr>
      <w:tblGrid>
        <w:gridCol w:w="6931"/>
        <w:gridCol w:w="466"/>
      </w:tblGrid>
      <w:tr>
        <w:trPr/>
        <w:tc>
          <w:tcPr>
            <w:tcW w:w="69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3">
              <w:r>
                <w:rPr>
                  <w:rStyle w:val="InternetLink"/>
                  <w:rFonts w:ascii="Times New Roman" w:hAnsi="Times New Roman"/>
                  <w:b/>
                  <w:color w:val="000000"/>
                  <w:sz w:val="20"/>
                  <w:u w:val="single"/>
                </w:rPr>
                <w:t>PART I EXPLANATORY NOTE</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I-1</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4">
              <w:r>
                <w:rPr>
                  <w:rStyle w:val="InternetLink"/>
                  <w:rFonts w:ascii="Times New Roman" w:hAnsi="Times New Roman"/>
                  <w:b/>
                  <w:color w:val="000000"/>
                  <w:sz w:val="20"/>
                  <w:u w:val="single"/>
                </w:rPr>
                <w:t>PART II INFORMATION REQUIRED IN THE REGISTRATION STATEMENT</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II-1</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item3_incorporationofdocumentsbyreferenc">
              <w:r>
                <w:rPr>
                  <w:rStyle w:val="InternetLink"/>
                  <w:rFonts w:ascii="Times New Roman" w:hAnsi="Times New Roman"/>
                  <w:b/>
                  <w:color w:val="000000"/>
                  <w:sz w:val="20"/>
                  <w:u w:val="single"/>
                </w:rPr>
                <w:t>Item 3. Incorporation of Documents by Reference</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II-1</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5">
              <w:r>
                <w:rPr>
                  <w:rStyle w:val="InternetLink"/>
                  <w:rFonts w:ascii="Times New Roman" w:hAnsi="Times New Roman"/>
                  <w:b/>
                  <w:color w:val="000000"/>
                  <w:sz w:val="20"/>
                  <w:u w:val="single"/>
                </w:rPr>
                <w:t>Item 6. Indemnification of Directors and Officers</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II-2</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6">
              <w:r>
                <w:rPr>
                  <w:rStyle w:val="InternetLink"/>
                  <w:rFonts w:ascii="Times New Roman" w:hAnsi="Times New Roman"/>
                  <w:b/>
                  <w:color w:val="000000"/>
                  <w:sz w:val="20"/>
                  <w:u w:val="single"/>
                </w:rPr>
                <w:t>Item 8. Exhibits</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II-3</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7">
              <w:r>
                <w:rPr>
                  <w:rStyle w:val="InternetLink"/>
                  <w:rFonts w:ascii="Times New Roman" w:hAnsi="Times New Roman"/>
                  <w:b/>
                  <w:color w:val="000000"/>
                  <w:sz w:val="20"/>
                  <w:u w:val="single"/>
                </w:rPr>
                <w:t>Item 9. Undertakings</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II-4</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8">
              <w:r>
                <w:rPr>
                  <w:rStyle w:val="InternetLink"/>
                  <w:rFonts w:ascii="Times New Roman" w:hAnsi="Times New Roman"/>
                  <w:b/>
                  <w:color w:val="000000"/>
                  <w:sz w:val="20"/>
                  <w:u w:val="single"/>
                </w:rPr>
                <w:t>SIGNATURES</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II-5</w:t>
            </w:r>
          </w:p>
        </w:tc>
      </w:tr>
      <w:tr>
        <w:trPr/>
        <w:tc>
          <w:tcPr>
            <w:tcW w:w="6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tcBorders/>
            <w:tcMar>
              <w:top w:w="0" w:type="dxa"/>
              <w:left w:w="0" w:type="dxa"/>
              <w:bottom w:w="0" w:type="dxa"/>
              <w:right w:w="0" w:type="dxa"/>
            </w:tcMar>
            <w:vAlign w:val="center"/>
          </w:tcPr>
          <w:p>
            <w:pPr>
              <w:pStyle w:val="TableContents"/>
              <w:bidi w:val="0"/>
              <w:spacing w:before="43" w:after="20"/>
              <w:jc w:val="left"/>
              <w:rPr/>
            </w:pPr>
            <w:hyperlink w:anchor="section9">
              <w:r>
                <w:rPr>
                  <w:rStyle w:val="InternetLink"/>
                  <w:rFonts w:ascii="Times New Roman" w:hAnsi="Times New Roman"/>
                  <w:b/>
                  <w:color w:val="000000"/>
                  <w:sz w:val="20"/>
                  <w:u w:val="single"/>
                </w:rPr>
                <w:t>EXHIBIT INDEX</w:t>
              </w:r>
            </w:hyperlink>
          </w:p>
        </w:tc>
        <w:tc>
          <w:tcPr>
            <w:tcW w:w="466" w:type="dxa"/>
            <w:tcBorders/>
            <w:tcMar>
              <w:top w:w="0" w:type="dxa"/>
              <w:left w:w="0" w:type="dxa"/>
              <w:bottom w:w="0" w:type="dxa"/>
              <w:right w:w="0" w:type="dxa"/>
            </w:tcMar>
            <w:vAlign w:val="center"/>
          </w:tcPr>
          <w:p>
            <w:pPr>
              <w:pStyle w:val="TableContents"/>
              <w:bidi w:val="0"/>
              <w:spacing w:before="43" w:after="20"/>
              <w:jc w:val="center"/>
              <w:rPr>
                <w:rFonts w:ascii="Times New Roman" w:hAnsi="Times New Roman"/>
                <w:b/>
                <w:color w:val="000000"/>
                <w:sz w:val="20"/>
              </w:rPr>
            </w:pPr>
            <w:r>
              <w:rPr>
                <w:rFonts w:ascii="Times New Roman" w:hAnsi="Times New Roman"/>
                <w:b/>
                <w:color w:val="000000"/>
                <w:sz w:val="20"/>
              </w:rPr>
              <w:t>II-6</w:t>
            </w:r>
          </w:p>
        </w:tc>
      </w:tr>
    </w:tbl>
    <w:p>
      <w:pPr>
        <w:pStyle w:val="TextBody"/>
        <w:bidi w:val="0"/>
        <w:jc w:val="left"/>
        <w:rPr/>
      </w:pPr>
      <w:r>
        <w:rPr/>
        <w:drawing>
          <wp:inline distT="0" distB="0" distL="0" distR="0">
            <wp:extent cx="594360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90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4" w:name="section3"/>
      <w:bookmarkEnd w:id="4"/>
      <w:r>
        <w:rPr/>
        <w:t> </w:t>
      </w:r>
    </w:p>
    <w:p>
      <w:pPr>
        <w:pStyle w:val="TextBody"/>
        <w:bidi w:val="0"/>
        <w:jc w:val="left"/>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Registration Statement is being filed for the purpose of registering an aggregate of 3,886,650 shares of the Registrant’s Common Stock which includes (i) 886,650 shares of the Registrant’s Common Stock issuable upon the vesting and exercise of stock options granted as inducement awards by the Registrant to employees in accordance with Nasdaq Listing Rule 5635(c)(4) and (ii) additional 3,000,000 shares of Common Stock that were reserved for issuance under the 2021 Omnibus Incentive Plan. The Registrant previously filed with the Securities and Exchange Commission (the “Commission”) registration statements on Form S-8 on June 10, 2021 (Registration No. 333-256978), July 12, 2022 (Registration No. 333-266103), July 1, 2024 (Registration No. 333-280623), and August 28, 2025 (Registration No. 333-289921) registering shares of Common Stock issuable under the 2021 Omnibus Incentive Plan (each, a “Prior Registration Statement,” and together, the “Prior Registration Statements”). This Registration Statement relates to securities of the same class as those to which the Prior Registration Statements relate and is submitted in accordance with General Instruction E of Form S-8 regarding Registration of Additional Securities. Pursuant to General Instruction E of Form S-8, the contents of the Prior Registration Statements are incorporated herein by reference and made part of this Registration Statement, except for Items 3 and 8, which are being updated by this Registration Statement.</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both"/>
        <w:rPr>
          <w:rFonts w:ascii="Times New Roman" w:hAnsi="Times New Roman"/>
          <w:color w:val="000000"/>
          <w:sz w:val="20"/>
        </w:rPr>
      </w:pPr>
      <w:r>
        <w:rPr>
          <w:rFonts w:ascii="Times New Roman" w:hAnsi="Times New Roman"/>
          <w:color w:val="000000"/>
          <w:sz w:val="20"/>
        </w:rPr>
        <w:t>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pStyle w:val="TextBody"/>
        <w:bidi w:val="0"/>
        <w:jc w:val="left"/>
        <w:rPr/>
      </w:pPr>
      <w:r>
        <w:rPr/>
        <w:drawing>
          <wp:inline distT="0" distB="0" distL="0" distR="0">
            <wp:extent cx="594360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905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5" w:name="section4"/>
      <w:bookmarkEnd w:id="5"/>
      <w:r>
        <w:rPr/>
        <w:t> </w:t>
      </w:r>
    </w:p>
    <w:p>
      <w:pPr>
        <w:pStyle w:val="TextBody"/>
        <w:bidi w:val="0"/>
        <w:jc w:val="left"/>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jc w:val="left"/>
        <w:rPr>
          <w:rFonts w:ascii="Times New Roman" w:hAnsi="Times New Roman"/>
          <w:b/>
          <w:color w:val="000000"/>
          <w:sz w:val="20"/>
        </w:rPr>
      </w:pPr>
      <w:bookmarkStart w:id="6" w:name="item3_incorporationofdocumentsbyreferenc"/>
      <w:bookmarkEnd w:id="6"/>
      <w:r>
        <w:rPr>
          <w:rFonts w:ascii="Times New Roman" w:hAnsi="Times New Roman"/>
          <w:b/>
          <w:color w:val="000000"/>
          <w:sz w:val="20"/>
        </w:rPr>
        <w:t>Item 3. Incorporation of Documents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documents, which have been filed by the Company with the Securities and Exchange Commission (the “SEC”), are hereby incorporated by reference in this Registration Statement:</w:t>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our Annual Report on Form 10-K for the year ended December 31, 2025 filed with the SEC on </w:t>
      </w:r>
      <w:hyperlink r:id="rId4">
        <w:r>
          <w:rPr>
            <w:rStyle w:val="InternetLink"/>
            <w:rFonts w:ascii="Times New Roman" w:hAnsi="Times New Roman"/>
            <w:color w:val="0000FF"/>
            <w:sz w:val="20"/>
            <w:u w:val="single"/>
          </w:rPr>
          <w:t>February 24, 2026</w:t>
        </w:r>
      </w:hyperlink>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our Quarterly Report on Form 10-Q for the quarter ended March 31, 2026 filed with the SEC on </w:t>
      </w:r>
      <w:hyperlink r:id="rId5">
        <w:r>
          <w:rPr>
            <w:rStyle w:val="InternetLink"/>
            <w:rFonts w:ascii="Times New Roman" w:hAnsi="Times New Roman"/>
            <w:color w:val="0000FF"/>
            <w:sz w:val="20"/>
            <w:u w:val="single"/>
          </w:rPr>
          <w:t>May 14, 2026</w:t>
        </w:r>
      </w:hyperlink>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our Current Reports on Form 8-K filed with the SEC on </w:t>
      </w:r>
      <w:hyperlink r:id="rId6">
        <w:r>
          <w:rPr>
            <w:rStyle w:val="InternetLink"/>
            <w:rFonts w:ascii="Times New Roman" w:hAnsi="Times New Roman"/>
            <w:color w:val="0000FF"/>
            <w:sz w:val="20"/>
            <w:u w:val="single"/>
          </w:rPr>
          <w:t>January 27,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April 2,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April 9,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19,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May 29,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June 11, 2026</w:t>
        </w:r>
      </w:hyperlink>
      <w:r>
        <w:rPr>
          <w:color w:val="000000"/>
        </w:rPr>
        <w:t xml:space="preserve"> </w:t>
      </w:r>
      <w:r>
        <w:rPr>
          <w:rFonts w:ascii="Times New Roman" w:hAnsi="Times New Roman"/>
          <w:color w:val="000000"/>
          <w:sz w:val="20"/>
        </w:rPr>
        <w:t xml:space="preserve">and </w:t>
      </w:r>
      <w:hyperlink r:id="rId12">
        <w:r>
          <w:rPr>
            <w:rStyle w:val="InternetLink"/>
            <w:rFonts w:ascii="Times New Roman" w:hAnsi="Times New Roman"/>
            <w:color w:val="0000FF"/>
            <w:sz w:val="20"/>
            <w:u w:val="single"/>
          </w:rPr>
          <w:t>July 16, 2026</w:t>
        </w:r>
      </w:hyperlink>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portions of our definitive Proxy Statement on Schedule 14A for our 2026 annual meeting of stockholders filed with the SEC on </w:t>
      </w:r>
      <w:hyperlink r:id="rId13">
        <w:r>
          <w:rPr>
            <w:rStyle w:val="InternetLink"/>
            <w:rFonts w:ascii="Times New Roman" w:hAnsi="Times New Roman"/>
            <w:color w:val="0000FF"/>
            <w:sz w:val="20"/>
            <w:u w:val="single"/>
          </w:rPr>
          <w:t>April 23, 2026</w:t>
        </w:r>
      </w:hyperlink>
      <w:r>
        <w:rPr>
          <w:color w:val="000000"/>
        </w:rPr>
        <w:t xml:space="preserve"> </w:t>
      </w:r>
      <w:r>
        <w:rPr>
          <w:rFonts w:ascii="Times New Roman" w:hAnsi="Times New Roman"/>
          <w:color w:val="000000"/>
          <w:sz w:val="20"/>
        </w:rPr>
        <w:t>that are deemed "filed" with the SEC under the Exchange Act; and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description of our common stock contained in our Registration Statement on Form 8-A filed with the Commission on </w:t>
      </w:r>
      <w:hyperlink r:id="rId14">
        <w:r>
          <w:rPr>
            <w:rStyle w:val="InternetLink"/>
            <w:rFonts w:ascii="Times New Roman" w:hAnsi="Times New Roman"/>
            <w:color w:val="0000FF"/>
            <w:sz w:val="20"/>
            <w:u w:val="single"/>
          </w:rPr>
          <w:t>May 23, 2012</w:t>
        </w:r>
      </w:hyperlink>
      <w:r>
        <w:rPr>
          <w:rFonts w:ascii="Times New Roman" w:hAnsi="Times New Roman"/>
          <w:color w:val="000000"/>
          <w:sz w:val="20"/>
        </w:rPr>
        <w:t>, including any amendments or reports filed with the SEC for the purposes of updating such description.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documents subsequently filed by the Company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Copies of these documents are not required to be filed with this Registration Statement, and nothing in this Registration Statement shall be deemed to incorporate information furnished but not filed with the SEC.</w:t>
      </w:r>
    </w:p>
    <w:p>
      <w:pPr>
        <w:pStyle w:val="TextBody"/>
        <w:bidi w:val="0"/>
        <w:jc w:val="left"/>
        <w:rPr/>
      </w:pPr>
      <w:r>
        <w:rPr/>
        <w:t> </w:t>
      </w:r>
    </w:p>
    <w:p>
      <w:pPr>
        <w:pStyle w:val="TextBody"/>
        <w:bidi w:val="0"/>
        <w:jc w:val="left"/>
        <w:rPr/>
      </w:pPr>
      <w:r>
        <w:rPr/>
        <w:drawing>
          <wp:inline distT="0" distB="0" distL="0" distR="0">
            <wp:extent cx="5943600"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5943600" cy="19050"/>
                    </a:xfrm>
                    <a:prstGeom prst="rect">
                      <a:avLst/>
                    </a:prstGeom>
                  </pic:spPr>
                </pic:pic>
              </a:graphicData>
            </a:graphic>
          </wp:inline>
        </w:drawing>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7" w:name="section5"/>
      <w:bookmarkEnd w:id="7"/>
      <w:r>
        <w:rPr/>
        <w:t> </w:t>
      </w:r>
    </w:p>
    <w:tbl>
      <w:tblPr>
        <w:tblW w:w="4382" w:type="dxa"/>
        <w:jc w:val="left"/>
        <w:tblInd w:w="0" w:type="dxa"/>
        <w:tblLayout w:type="fixed"/>
        <w:tblCellMar>
          <w:top w:w="28" w:type="dxa"/>
          <w:left w:w="28" w:type="dxa"/>
          <w:bottom w:w="28" w:type="dxa"/>
          <w:right w:w="28" w:type="dxa"/>
        </w:tblCellMar>
      </w:tblPr>
      <w:tblGrid>
        <w:gridCol w:w="706"/>
        <w:gridCol w:w="3676"/>
      </w:tblGrid>
      <w:tr>
        <w:trPr/>
        <w:tc>
          <w:tcPr>
            <w:tcW w:w="70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b/>
                <w:color w:val="000000"/>
                <w:sz w:val="20"/>
              </w:rPr>
            </w:pPr>
            <w:r>
              <w:rPr>
                <w:rFonts w:ascii="Times New Roman" w:hAnsi="Times New Roman"/>
                <w:b/>
                <w:color w:val="000000"/>
                <w:sz w:val="20"/>
              </w:rPr>
              <w:t>Item 6.</w:t>
            </w:r>
          </w:p>
        </w:tc>
        <w:tc>
          <w:tcPr>
            <w:tcW w:w="367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b/>
                <w:color w:val="000000"/>
                <w:sz w:val="20"/>
              </w:rPr>
            </w:pPr>
            <w:r>
              <w:rPr>
                <w:rFonts w:ascii="Times New Roman" w:hAnsi="Times New Roman"/>
                <w:b/>
                <w:color w:val="000000"/>
                <w:sz w:val="20"/>
              </w:rPr>
              <w:t>Indemnification of Directors and Officers.</w:t>
            </w:r>
          </w:p>
        </w:tc>
      </w:tr>
    </w:tbl>
    <w:p>
      <w:pPr>
        <w:pStyle w:val="TextBody"/>
        <w:bidi w:val="0"/>
        <w:jc w:val="both"/>
        <w:rPr>
          <w:rFonts w:ascii="Times New Roman" w:hAnsi="Times New Roman"/>
          <w:color w:val="000000"/>
          <w:sz w:val="20"/>
        </w:rPr>
      </w:pPr>
      <w:r>
        <w:rPr>
          <w:rFonts w:ascii="Times New Roman" w:hAnsi="Times New Roman"/>
          <w:color w:val="000000"/>
          <w:sz w:val="20"/>
        </w:rPr>
        <w:t>Section 145(a) of the Delaware General Corporation Law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pStyle w:val="TextBody"/>
        <w:bidi w:val="0"/>
        <w:jc w:val="both"/>
        <w:rPr>
          <w:rFonts w:ascii="Times New Roman" w:hAnsi="Times New Roman"/>
          <w:color w:val="000000"/>
          <w:sz w:val="20"/>
        </w:rPr>
      </w:pPr>
      <w:r>
        <w:rPr>
          <w:rFonts w:ascii="Times New Roman" w:hAnsi="Times New Roman"/>
          <w:color w:val="000000"/>
          <w:sz w:val="20"/>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pStyle w:val="TextBody"/>
        <w:bidi w:val="0"/>
        <w:jc w:val="both"/>
        <w:rPr>
          <w:rFonts w:ascii="Times New Roman" w:hAnsi="Times New Roman"/>
          <w:color w:val="000000"/>
          <w:sz w:val="20"/>
        </w:rPr>
      </w:pPr>
      <w:r>
        <w:rPr>
          <w:rFonts w:ascii="Times New Roman" w:hAnsi="Times New Roman"/>
          <w:color w:val="000000"/>
          <w:sz w:val="20"/>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pStyle w:val="TextBody"/>
        <w:bidi w:val="0"/>
        <w:jc w:val="both"/>
        <w:rPr>
          <w:rFonts w:ascii="Times New Roman" w:hAnsi="Times New Roman"/>
          <w:color w:val="000000"/>
          <w:sz w:val="20"/>
        </w:rPr>
      </w:pPr>
      <w:r>
        <w:rPr>
          <w:rFonts w:ascii="Times New Roman" w:hAnsi="Times New Roman"/>
          <w:color w:val="000000"/>
          <w:sz w:val="20"/>
        </w:rPr>
        <w:t>Additionally, our Amended and Restated Certificate of Incorporation, as amended, eliminates our directors’ liability to the fullest extent permitted under the DGCL. The DGCL provides that directors of a corporation will not be personally liable for monetary damages for breach of their fiduciary duties as directors, except for liability:</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transaction from which the director derives an improper personal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act or omission not in good faith or that involves intentional misconduct or a knowing violation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unlawful payment of dividends or redemption of shares;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breach of a director’s duty of loyalty to the corporation or its stockholders.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maintain a directors’ and officers’ insurance policy pursuant to which our directors and officers are insured against liability for actions taken in their capacities as directors and officers.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8" w:name="section6"/>
      <w:bookmarkEnd w:id="8"/>
      <w:r>
        <w:rPr/>
        <w:t> </w:t>
      </w:r>
    </w:p>
    <w:tbl>
      <w:tblPr>
        <w:tblW w:w="1562" w:type="dxa"/>
        <w:jc w:val="left"/>
        <w:tblInd w:w="0" w:type="dxa"/>
        <w:tblLayout w:type="fixed"/>
        <w:tblCellMar>
          <w:top w:w="28" w:type="dxa"/>
          <w:left w:w="28" w:type="dxa"/>
          <w:bottom w:w="28" w:type="dxa"/>
          <w:right w:w="28" w:type="dxa"/>
        </w:tblCellMar>
      </w:tblPr>
      <w:tblGrid>
        <w:gridCol w:w="706"/>
        <w:gridCol w:w="856"/>
      </w:tblGrid>
      <w:tr>
        <w:trPr/>
        <w:tc>
          <w:tcPr>
            <w:tcW w:w="70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b/>
                <w:color w:val="000000"/>
                <w:sz w:val="20"/>
              </w:rPr>
            </w:pPr>
            <w:r>
              <w:rPr>
                <w:rFonts w:ascii="Times New Roman" w:hAnsi="Times New Roman"/>
                <w:b/>
                <w:color w:val="000000"/>
                <w:sz w:val="20"/>
              </w:rPr>
              <w:t>Item 8.</w:t>
            </w:r>
          </w:p>
        </w:tc>
        <w:tc>
          <w:tcPr>
            <w:tcW w:w="85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b/>
                <w:color w:val="000000"/>
                <w:sz w:val="20"/>
              </w:rPr>
            </w:pPr>
            <w:r>
              <w:rPr>
                <w:rFonts w:ascii="Times New Roman" w:hAnsi="Times New Roman"/>
                <w:b/>
                <w:color w:val="000000"/>
                <w:sz w:val="20"/>
              </w:rPr>
              <w:t>Exhibits</w:t>
            </w:r>
          </w:p>
        </w:tc>
      </w:tr>
    </w:tbl>
    <w:p>
      <w:pPr>
        <w:pStyle w:val="TextBody"/>
        <w:bidi w:val="0"/>
        <w:jc w:val="left"/>
        <w:rPr>
          <w:rFonts w:ascii="Times New Roman" w:hAnsi="Times New Roman"/>
          <w:color w:val="000000"/>
          <w:sz w:val="20"/>
        </w:rPr>
      </w:pPr>
      <w:r>
        <w:rPr>
          <w:rFonts w:ascii="Times New Roman" w:hAnsi="Times New Roman"/>
          <w:color w:val="000000"/>
          <w:sz w:val="20"/>
        </w:rPr>
        <w:t>For a list of exhibits, see the Exhibit Index in this Registration Statement, which is incorporated into this Item by reference.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9" w:name="section7"/>
      <w:bookmarkEnd w:id="9"/>
      <w:r>
        <w:rPr/>
        <w:t> </w:t>
      </w:r>
    </w:p>
    <w:tbl>
      <w:tblPr>
        <w:tblW w:w="1997" w:type="dxa"/>
        <w:jc w:val="left"/>
        <w:tblInd w:w="0" w:type="dxa"/>
        <w:tblLayout w:type="fixed"/>
        <w:tblCellMar>
          <w:top w:w="28" w:type="dxa"/>
          <w:left w:w="28" w:type="dxa"/>
          <w:bottom w:w="28" w:type="dxa"/>
          <w:right w:w="28" w:type="dxa"/>
        </w:tblCellMar>
      </w:tblPr>
      <w:tblGrid>
        <w:gridCol w:w="706"/>
        <w:gridCol w:w="1291"/>
      </w:tblGrid>
      <w:tr>
        <w:trPr/>
        <w:tc>
          <w:tcPr>
            <w:tcW w:w="70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b/>
                <w:color w:val="000000"/>
                <w:sz w:val="20"/>
              </w:rPr>
            </w:pPr>
            <w:r>
              <w:rPr>
                <w:rFonts w:ascii="Times New Roman" w:hAnsi="Times New Roman"/>
                <w:b/>
                <w:color w:val="000000"/>
                <w:sz w:val="20"/>
              </w:rPr>
              <w:t>Item 9.</w:t>
            </w:r>
          </w:p>
        </w:tc>
        <w:tc>
          <w:tcPr>
            <w:tcW w:w="1291"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b/>
                <w:color w:val="000000"/>
                <w:sz w:val="20"/>
              </w:rPr>
            </w:pPr>
            <w:r>
              <w:rPr>
                <w:rFonts w:ascii="Times New Roman" w:hAnsi="Times New Roman"/>
                <w:b/>
                <w:color w:val="000000"/>
                <w:sz w:val="20"/>
              </w:rPr>
              <w:t>Undertakings</w:t>
            </w:r>
          </w:p>
        </w:tc>
      </w:tr>
    </w:tbl>
    <w:tbl>
      <w:tblPr>
        <w:tblW w:w="4322" w:type="dxa"/>
        <w:jc w:val="left"/>
        <w:tblInd w:w="0" w:type="dxa"/>
        <w:tblLayout w:type="fixed"/>
        <w:tblCellMar>
          <w:top w:w="28" w:type="dxa"/>
          <w:left w:w="28" w:type="dxa"/>
          <w:bottom w:w="28" w:type="dxa"/>
          <w:right w:w="28" w:type="dxa"/>
        </w:tblCellMar>
      </w:tblPr>
      <w:tblGrid>
        <w:gridCol w:w="331"/>
        <w:gridCol w:w="3991"/>
      </w:tblGrid>
      <w:tr>
        <w:trPr/>
        <w:tc>
          <w:tcPr>
            <w:tcW w:w="331"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(a)</w:t>
            </w:r>
          </w:p>
        </w:tc>
        <w:tc>
          <w:tcPr>
            <w:tcW w:w="3991"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The undersigned Registrant hereby undertakes:</w:t>
            </w:r>
          </w:p>
        </w:tc>
      </w:tr>
    </w:tbl>
    <w:tbl>
      <w:tblPr>
        <w:tblW w:w="10205" w:type="dxa"/>
        <w:jc w:val="left"/>
        <w:tblInd w:w="0" w:type="dxa"/>
        <w:tblLayout w:type="fixed"/>
        <w:tblCellMar>
          <w:top w:w="28" w:type="dxa"/>
          <w:left w:w="28" w:type="dxa"/>
          <w:bottom w:w="28" w:type="dxa"/>
          <w:right w:w="28" w:type="dxa"/>
        </w:tblCellMar>
      </w:tblPr>
      <w:tblGrid>
        <w:gridCol w:w="124"/>
        <w:gridCol w:w="327"/>
        <w:gridCol w:w="9754"/>
      </w:tblGrid>
      <w:tr>
        <w:trPr/>
        <w:tc>
          <w:tcPr>
            <w:tcW w:w="1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(1)</w:t>
            </w:r>
          </w:p>
        </w:tc>
        <w:tc>
          <w:tcPr>
            <w:tcW w:w="9754"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tc>
      </w:tr>
    </w:tbl>
    <w:tbl>
      <w:tblPr>
        <w:tblW w:w="6771" w:type="dxa"/>
        <w:jc w:val="left"/>
        <w:tblInd w:w="0" w:type="dxa"/>
        <w:tblLayout w:type="fixed"/>
        <w:tblCellMar>
          <w:top w:w="28" w:type="dxa"/>
          <w:left w:w="28" w:type="dxa"/>
          <w:bottom w:w="28" w:type="dxa"/>
          <w:right w:w="28" w:type="dxa"/>
        </w:tblCellMar>
      </w:tblPr>
      <w:tblGrid>
        <w:gridCol w:w="124"/>
        <w:gridCol w:w="28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(i)</w:t>
            </w:r>
          </w:p>
        </w:tc>
        <w:tc>
          <w:tcPr>
            <w:tcW w:w="6361"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(ii)</w:t>
            </w:r>
          </w:p>
        </w:tc>
        <w:tc>
          <w:tcPr>
            <w:tcW w:w="9788"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the value we registered) and any deviation from the low or high end of the estimated maximum offering range may be reflected in the form of a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tc>
      </w:tr>
    </w:tbl>
    <w:tbl>
      <w:tblPr>
        <w:tblW w:w="10205" w:type="dxa"/>
        <w:jc w:val="left"/>
        <w:tblInd w:w="0" w:type="dxa"/>
        <w:tblLayout w:type="fixed"/>
        <w:tblCellMar>
          <w:top w:w="28" w:type="dxa"/>
          <w:left w:w="28" w:type="dxa"/>
          <w:bottom w:w="28" w:type="dxa"/>
          <w:right w:w="28" w:type="dxa"/>
        </w:tblCellMar>
      </w:tblPr>
      <w:tblGrid>
        <w:gridCol w:w="124"/>
        <w:gridCol w:w="357"/>
        <w:gridCol w:w="9724"/>
      </w:tblGrid>
      <w:tr>
        <w:trPr/>
        <w:tc>
          <w:tcPr>
            <w:tcW w:w="12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(iii)</w:t>
            </w:r>
          </w:p>
        </w:tc>
        <w:tc>
          <w:tcPr>
            <w:tcW w:w="9724"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 provided, however, that paragraphs (1)(i) and (1)(ii) above do not apply if the information required to be included in a post-effective amendment by those paragraphs is contained in periodic reports filed with or furnished to the Commission by the Registrant pursuant to Section 13 or 15(d) of the Exchange Act that are incorporated by reference in the Registration Statement;</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(2)</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Layout w:type="fixed"/>
        <w:tblCellMar>
          <w:top w:w="28" w:type="dxa"/>
          <w:left w:w="28" w:type="dxa"/>
          <w:bottom w:w="28" w:type="dxa"/>
          <w:right w:w="28" w:type="dxa"/>
        </w:tblCellMar>
      </w:tblPr>
      <w:tblGrid>
        <w:gridCol w:w="124"/>
        <w:gridCol w:w="313"/>
        <w:gridCol w:w="9768"/>
      </w:tblGrid>
      <w:tr>
        <w:trPr/>
        <w:tc>
          <w:tcPr>
            <w:tcW w:w="1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76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(3)</w:t>
            </w:r>
          </w:p>
        </w:tc>
        <w:tc>
          <w:tcPr>
            <w:tcW w:w="9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tc>
      </w:tr>
    </w:tbl>
    <w:tbl>
      <w:tblPr>
        <w:tblW w:w="10205" w:type="dxa"/>
        <w:jc w:val="left"/>
        <w:tblInd w:w="0" w:type="dxa"/>
        <w:tblLayout w:type="fixed"/>
        <w:tblCellMar>
          <w:top w:w="28" w:type="dxa"/>
          <w:left w:w="28" w:type="dxa"/>
          <w:bottom w:w="28" w:type="dxa"/>
          <w:right w:w="28" w:type="dxa"/>
        </w:tblCellMar>
      </w:tblPr>
      <w:tblGrid>
        <w:gridCol w:w="297"/>
        <w:gridCol w:w="9908"/>
      </w:tblGrid>
      <w:tr>
        <w:trPr/>
        <w:tc>
          <w:tcPr>
            <w:tcW w:w="297" w:type="dxa"/>
            <w:tcBorders/>
            <w:vAlign w:val="center"/>
          </w:tcPr>
          <w:p>
            <w:pPr>
              <w:pStyle w:val="TableContents"/>
              <w:bidi w:val="0"/>
              <w:spacing w:before="0" w:after="283"/>
              <w:jc w:val="left"/>
              <w:rPr>
                <w:sz w:val="4"/>
                <w:szCs w:val="4"/>
              </w:rPr>
            </w:pPr>
            <w:r>
              <w:rPr>
                <w:sz w:val="4"/>
                <w:szCs w:val="4"/>
              </w:rPr>
            </w:r>
          </w:p>
        </w:tc>
        <w:tc>
          <w:tcPr>
            <w:tcW w:w="9908" w:type="dxa"/>
            <w:tcBorders/>
            <w:vAlign w:val="center"/>
          </w:tcPr>
          <w:p>
            <w:pPr>
              <w:pStyle w:val="TableContents"/>
              <w:bidi w:val="0"/>
              <w:spacing w:before="0" w:after="283"/>
              <w:jc w:val="left"/>
              <w:rPr>
                <w:sz w:val="4"/>
                <w:szCs w:val="4"/>
              </w:rPr>
            </w:pPr>
            <w:r>
              <w:rPr>
                <w:sz w:val="4"/>
                <w:szCs w:val="4"/>
              </w:rPr>
            </w:r>
          </w:p>
        </w:tc>
      </w:tr>
      <w:tr>
        <w:trPr/>
        <w:tc>
          <w:tcPr>
            <w:tcW w:w="297"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(b)</w:t>
            </w:r>
          </w:p>
        </w:tc>
        <w:tc>
          <w:tcPr>
            <w:tcW w:w="9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Layout w:type="fixed"/>
        <w:tblCellMar>
          <w:top w:w="28" w:type="dxa"/>
          <w:left w:w="28" w:type="dxa"/>
          <w:bottom w:w="28" w:type="dxa"/>
          <w:right w:w="28" w:type="dxa"/>
        </w:tblCellMar>
      </w:tblPr>
      <w:tblGrid>
        <w:gridCol w:w="276"/>
        <w:gridCol w:w="9929"/>
      </w:tblGrid>
      <w:tr>
        <w:trPr/>
        <w:tc>
          <w:tcPr>
            <w:tcW w:w="276"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left"/>
              <w:rPr>
                <w:sz w:val="4"/>
                <w:szCs w:val="4"/>
              </w:rPr>
            </w:pPr>
            <w:r>
              <w:rPr>
                <w:sz w:val="4"/>
                <w:szCs w:val="4"/>
              </w:rPr>
            </w:r>
          </w:p>
        </w:tc>
      </w:tr>
      <w:tr>
        <w:trPr/>
        <w:tc>
          <w:tcPr>
            <w:tcW w:w="276"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(c)</w:t>
            </w:r>
          </w:p>
        </w:tc>
        <w:tc>
          <w:tcPr>
            <w:tcW w:w="9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10" w:name="section8"/>
      <w:bookmarkEnd w:id="10"/>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July 21, 2026.</w:t>
      </w:r>
    </w:p>
    <w:p>
      <w:pPr>
        <w:pStyle w:val="TextBody"/>
        <w:bidi w:val="0"/>
        <w:jc w:val="left"/>
        <w:rPr/>
      </w:pPr>
      <w:r>
        <w:rPr/>
        <w:t> </w:t>
      </w:r>
    </w:p>
    <w:tbl>
      <w:tblPr>
        <w:tblW w:w="2659" w:type="dxa"/>
        <w:jc w:val="left"/>
        <w:tblInd w:w="0" w:type="dxa"/>
        <w:tblLayout w:type="fixed"/>
        <w:tblCellMar>
          <w:top w:w="28" w:type="dxa"/>
          <w:left w:w="28" w:type="dxa"/>
          <w:bottom w:w="28" w:type="dxa"/>
          <w:right w:w="28" w:type="dxa"/>
        </w:tblCellMar>
      </w:tblPr>
      <w:tblGrid>
        <w:gridCol w:w="124"/>
        <w:gridCol w:w="415"/>
        <w:gridCol w:w="2120"/>
      </w:tblGrid>
      <w:tr>
        <w:trPr/>
        <w:tc>
          <w:tcPr>
            <w:tcW w:w="1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CARDIFF ONCOLOGY,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2120"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Mani Mohindru</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Mani Mohindru</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Mani Mohindru as his or her attorney-in-fact, with full power of substitution for him or her in any and all capacities, to sign any amendments to this Registration Statement, including any and all pre-effective and post-effective amendments and to file such amendments thereto, with exhibits thereto and other documents in connection therewith, with the Securities and Exchange Commission, hereby ratifying and confirming all that said attorney-in-fact, or his substitute or substitutes, may do or cause to be done by virtue hereof.</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2176"/>
        <w:gridCol w:w="146"/>
        <w:gridCol w:w="3721"/>
        <w:gridCol w:w="146"/>
        <w:gridCol w:w="126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Date</w:t>
            </w:r>
          </w:p>
        </w:tc>
      </w:tr>
      <w:tr>
        <w:trPr/>
        <w:tc>
          <w:tcPr>
            <w:tcW w:w="2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Mani Mohindru</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Mani Mohindru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Josh Muntner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Josh Muntner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Rodney S. Markin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Chairman of the Board and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Rodney S. Markin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James O. Armitage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James O. Armitage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Gary. W. Pace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Gary W. Pace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Renee P. Tannenbaum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Renee P. Tannenbaum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Lâle White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July 21, 2026</w:t>
            </w:r>
          </w:p>
        </w:tc>
      </w:tr>
      <w:tr>
        <w:trPr/>
        <w:tc>
          <w:tcPr>
            <w:tcW w:w="217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Lâle White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11" w:name="section9"/>
      <w:bookmarkEnd w:id="11"/>
      <w:r>
        <w:rPr/>
        <w:drawing>
          <wp:inline distT="0" distB="0" distL="0" distR="0">
            <wp:extent cx="5943600" cy="19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5943600" cy="190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spacing w:before="53" w:after="283"/>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r:id="rId17">
              <w:r>
                <w:rPr>
                  <w:rStyle w:val="InternetLink"/>
                  <w:rFonts w:ascii="Times New Roman" w:hAnsi="Times New Roman"/>
                  <w:color w:val="0000FF"/>
                  <w:sz w:val="20"/>
                  <w:u w:val="single"/>
                </w:rPr>
                <w:t>Amended and Restated Certificate of Incorporation. (incorporated by reference to Exhibit 3.1 to the Company’s Form 10-12G filed on November 25, 2011).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r:id="rId18">
              <w:r>
                <w:rPr>
                  <w:rStyle w:val="InternetLink"/>
                  <w:rFonts w:ascii="Times New Roman" w:hAnsi="Times New Roman"/>
                  <w:color w:val="0000FF"/>
                  <w:sz w:val="20"/>
                  <w:u w:val="single"/>
                </w:rPr>
                <w:t>Certificate of Amendment of Amended and Restated Certificate of Incorporation (incorporated by reference to Appendix B to the Company’s Proxy Statement on Schedule 14A filed on March 20, 2012).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33" w:after="30"/>
              <w:jc w:val="left"/>
              <w:rPr/>
            </w:pPr>
            <w:hyperlink r:id="rId19">
              <w:r>
                <w:rPr>
                  <w:rStyle w:val="InternetLink"/>
                  <w:rFonts w:ascii="Times New Roman" w:hAnsi="Times New Roman"/>
                  <w:color w:val="0000FF"/>
                  <w:sz w:val="20"/>
                  <w:u w:val="single"/>
                </w:rPr>
                <w:t>Amended and Restated By-Laws (incorporated by reference to Exhibit 3.1 to the Company’s Form 8-K filed on January 6,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53" w:after="30"/>
              <w:jc w:val="left"/>
              <w:rPr/>
            </w:pPr>
            <w:hyperlink r:id="rId20">
              <w:r>
                <w:rPr>
                  <w:rStyle w:val="InternetLink"/>
                  <w:rFonts w:ascii="Times New Roman" w:hAnsi="Times New Roman"/>
                  <w:color w:val="0000FF"/>
                  <w:sz w:val="20"/>
                  <w:u w:val="single"/>
                </w:rPr>
                <w:t>Cardiff Oncology, Inc. 2021 Omnibus Equity Incentive Plan (incorporated by reference to Appendix A to the Company’s Proxy Statement on Schedule 14A filed on April 14,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crdf-ex5_1.htm">
              <w:r>
                <w:rPr>
                  <w:rStyle w:val="InternetLink"/>
                  <w:rFonts w:ascii="Times New Roman" w:hAnsi="Times New Roman"/>
                  <w:color w:val="0000FF"/>
                  <w:sz w:val="20"/>
                  <w:u w:val="single"/>
                </w:rPr>
                <w:t>Opinion of Sheppard Mullin Richter &amp; Hampton LLP</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crdf-ex5_1.htm">
              <w:r>
                <w:rPr>
                  <w:rStyle w:val="InternetLink"/>
                  <w:rFonts w:ascii="Times New Roman" w:hAnsi="Times New Roman"/>
                  <w:color w:val="0000FF"/>
                  <w:sz w:val="20"/>
                  <w:u w:val="single"/>
                </w:rPr>
                <w:t>Consent of Sheppard Mullin Richter &amp; Hampton LLP (included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crdf-ex23_2.htm">
              <w:r>
                <w:rPr>
                  <w:rStyle w:val="InternetLink"/>
                  <w:rFonts w:ascii="Times New Roman" w:hAnsi="Times New Roman"/>
                  <w:color w:val="0000FF"/>
                  <w:sz w:val="20"/>
                  <w:u w:val="single"/>
                </w:rPr>
                <w:t>Consent of BDO USA, P.C.</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section8">
              <w:r>
                <w:rPr>
                  <w:rStyle w:val="InternetLink"/>
                  <w:rFonts w:ascii="Times New Roman" w:hAnsi="Times New Roman"/>
                  <w:color w:val="0000FF"/>
                  <w:sz w:val="20"/>
                  <w:u w:val="single"/>
                </w:rPr>
                <w:t>Power of Attorney (contained on signature page)</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crdf-ex99_1.htm">
              <w:r>
                <w:rPr>
                  <w:rStyle w:val="InternetLink"/>
                  <w:rFonts w:ascii="Times New Roman" w:hAnsi="Times New Roman"/>
                  <w:color w:val="0000FF"/>
                  <w:sz w:val="20"/>
                  <w:u w:val="single"/>
                </w:rPr>
                <w:t>Employee Stock Option Agreement dated April 6, 2026 by and between Cardiff Oncology, Inc. and Josh Muntner</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crdf-ex99_2.htm">
              <w:r>
                <w:rPr>
                  <w:rStyle w:val="InternetLink"/>
                  <w:rFonts w:ascii="Times New Roman" w:hAnsi="Times New Roman"/>
                  <w:color w:val="0000FF"/>
                  <w:sz w:val="20"/>
                  <w:u w:val="single"/>
                </w:rPr>
                <w:t>Employee Stock Option Agreement dated April 27,2026 by and between Cardiff Oncology, Inc. and Ajay Aggarwal</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53" w:after="30"/>
              <w:jc w:val="left"/>
              <w:rPr/>
            </w:pPr>
            <w:hyperlink w:anchor="crdf_exfilingfees.htm">
              <w:r>
                <w:rPr>
                  <w:rStyle w:val="InternetLink"/>
                  <w:rFonts w:ascii="Times New Roman" w:hAnsi="Times New Roman"/>
                  <w:color w:val="0000FF"/>
                  <w:sz w:val="20"/>
                  <w:u w:val="single"/>
                </w:rPr>
                <w:t>Filing Fee Table</w:t>
              </w:r>
            </w:hyperlink>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drawing>
          <wp:inline distT="0" distB="0" distL="0" distR="0">
            <wp:extent cx="5943600" cy="1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1"/>
                    <a:stretch>
                      <a:fillRect/>
                    </a:stretch>
                  </pic:blipFill>
                  <pic:spPr bwMode="auto">
                    <a:xfrm>
                      <a:off x="0" y="0"/>
                      <a:ext cx="5943600" cy="190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II-6</w:t>
      </w:r>
    </w:p>
    <w:p>
      <w:pPr>
        <w:pStyle w:val="HorizontalLine"/>
        <w:pBdr>
          <w:bottom w:val="double" w:sz="2" w:space="0" w:color="808080"/>
        </w:pBdr>
        <w:bidi w:val="0"/>
        <w:spacing w:before="0" w:after="283"/>
        <w:jc w:val="left"/>
        <w:rPr/>
      </w:pPr>
      <w:r>
        <w:rPr/>
      </w:r>
    </w:p>
    <w:p>
      <w:pPr>
        <w:pStyle w:val="TextBody"/>
        <w:bidi w:val="0"/>
        <w:jc w:val="left"/>
        <w:rPr/>
      </w:pPr>
      <w:bookmarkStart w:id="12" w:name="crdf-ex5_1.htm"/>
      <w:bookmarkStart w:id="13" w:name="kscrdfex5_1"/>
      <w:bookmarkEnd w:id="12"/>
      <w:bookmarkEnd w:id="13"/>
      <w:r>
        <w:rPr/>
        <w:t> </w:t>
      </w:r>
      <w:r>
        <w:br w:type="page"/>
      </w:r>
    </w:p>
    <w:p>
      <w:pPr>
        <w:pStyle w:val="TextBody"/>
        <w:bidi w:val="0"/>
        <w:spacing w:before="81" w:after="283"/>
        <w:jc w:val="left"/>
        <w:rPr/>
      </w:pPr>
      <w:r>
        <w:rPr/>
        <w:drawing>
          <wp:inline distT="0" distB="0" distL="0" distR="0">
            <wp:extent cx="12382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2"/>
                    <a:stretch>
                      <a:fillRect/>
                    </a:stretch>
                  </pic:blipFill>
                  <pic:spPr bwMode="auto">
                    <a:xfrm>
                      <a:off x="0" y="0"/>
                      <a:ext cx="1238250" cy="495300"/>
                    </a:xfrm>
                    <a:prstGeom prst="rect">
                      <a:avLst/>
                    </a:prstGeom>
                  </pic:spPr>
                </pic:pic>
              </a:graphicData>
            </a:graphic>
          </wp:inline>
        </w:drawing>
      </w:r>
      <w:r>
        <w:rPr>
          <w:rFonts w:ascii="Times New Roman" w:hAnsi="Times New Roman"/>
          <w:color w:val="706F73"/>
          <w:sz w:val="16"/>
        </w:rPr>
        <w:t>Sheppard, Mullin, Richter &amp; Hampton LLP 30 Rockefeller Plaza</w:t>
      </w:r>
    </w:p>
    <w:p>
      <w:pPr>
        <w:pStyle w:val="TextBody"/>
        <w:bidi w:val="0"/>
        <w:jc w:val="left"/>
        <w:rPr>
          <w:rFonts w:ascii="Times New Roman" w:hAnsi="Times New Roman"/>
          <w:color w:val="706F73"/>
          <w:sz w:val="16"/>
        </w:rPr>
      </w:pPr>
      <w:r>
        <w:rPr>
          <w:rFonts w:ascii="Times New Roman" w:hAnsi="Times New Roman"/>
          <w:color w:val="706F73"/>
          <w:sz w:val="16"/>
        </w:rPr>
        <w:t>New York, New York 10112-0015 212.653.8700 main</w:t>
      </w:r>
    </w:p>
    <w:p>
      <w:pPr>
        <w:pStyle w:val="TextBody"/>
        <w:bidi w:val="0"/>
        <w:jc w:val="left"/>
        <w:rPr>
          <w:rFonts w:ascii="Times New Roman" w:hAnsi="Times New Roman"/>
          <w:color w:val="706F73"/>
          <w:sz w:val="16"/>
        </w:rPr>
      </w:pPr>
      <w:r>
        <w:rPr>
          <w:rFonts w:ascii="Times New Roman" w:hAnsi="Times New Roman"/>
          <w:color w:val="706F73"/>
          <w:sz w:val="16"/>
        </w:rPr>
        <w:t>212.653.8701 fax</w:t>
      </w:r>
    </w:p>
    <w:p>
      <w:pPr>
        <w:pStyle w:val="TextBody"/>
        <w:bidi w:val="0"/>
        <w:jc w:val="left"/>
        <w:rPr>
          <w:rFonts w:ascii="Times New Roman" w:hAnsi="Times New Roman"/>
          <w:color w:val="000000"/>
          <w:sz w:val="24"/>
        </w:rPr>
      </w:pPr>
      <w:r>
        <w:rPr>
          <w:rFonts w:ascii="Times New Roman" w:hAnsi="Times New Roman"/>
          <w:color w:val="000000"/>
          <w:sz w:val="24"/>
        </w:rPr>
        <w:t>July 21, 2026</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VIA ELECTRONIC MAIL ONLY</w:t>
      </w:r>
    </w:p>
    <w:p>
      <w:pPr>
        <w:pStyle w:val="TextBody"/>
        <w:bidi w:val="0"/>
        <w:jc w:val="left"/>
        <w:rPr>
          <w:rFonts w:ascii="Times New Roman" w:hAnsi="Times New Roman"/>
          <w:color w:val="000000"/>
          <w:sz w:val="24"/>
        </w:rPr>
      </w:pPr>
      <w:r>
        <w:rPr>
          <w:rFonts w:ascii="Times New Roman" w:hAnsi="Times New Roman"/>
          <w:color w:val="000000"/>
          <w:sz w:val="24"/>
        </w:rPr>
        <w:t>Cardiff Oncology, Inc.</w:t>
      </w:r>
    </w:p>
    <w:p>
      <w:pPr>
        <w:pStyle w:val="TextBody"/>
        <w:bidi w:val="0"/>
        <w:jc w:val="left"/>
        <w:rPr>
          <w:rFonts w:ascii="Times New Roman" w:hAnsi="Times New Roman"/>
          <w:color w:val="000000"/>
          <w:sz w:val="24"/>
        </w:rPr>
      </w:pPr>
      <w:r>
        <w:rPr>
          <w:rFonts w:ascii="Times New Roman" w:hAnsi="Times New Roman"/>
          <w:color w:val="000000"/>
          <w:sz w:val="24"/>
        </w:rPr>
        <w:t>11055 Flintkote Avenue</w:t>
      </w:r>
    </w:p>
    <w:p>
      <w:pPr>
        <w:pStyle w:val="TextBody"/>
        <w:bidi w:val="0"/>
        <w:jc w:val="left"/>
        <w:rPr>
          <w:rFonts w:ascii="Times New Roman" w:hAnsi="Times New Roman"/>
          <w:color w:val="000000"/>
          <w:sz w:val="24"/>
        </w:rPr>
      </w:pPr>
      <w:r>
        <w:rPr>
          <w:rFonts w:ascii="Times New Roman" w:hAnsi="Times New Roman"/>
          <w:color w:val="000000"/>
          <w:sz w:val="24"/>
        </w:rPr>
        <w:t>San Diego, CA 92121</w:t>
      </w:r>
    </w:p>
    <w:tbl>
      <w:tblPr>
        <w:tblW w:w="3989" w:type="dxa"/>
        <w:jc w:val="left"/>
        <w:tblInd w:w="0" w:type="dxa"/>
        <w:tblLayout w:type="fixed"/>
        <w:tblCellMar>
          <w:top w:w="28" w:type="dxa"/>
          <w:left w:w="28" w:type="dxa"/>
          <w:bottom w:w="28" w:type="dxa"/>
          <w:right w:w="28" w:type="dxa"/>
        </w:tblCellMar>
      </w:tblPr>
      <w:tblGrid>
        <w:gridCol w:w="162"/>
        <w:gridCol w:w="143"/>
        <w:gridCol w:w="145"/>
        <w:gridCol w:w="1036"/>
        <w:gridCol w:w="1036"/>
        <w:gridCol w:w="1467"/>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w:t>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 Statement on Form S-8</w:t>
            </w:r>
          </w:p>
        </w:tc>
      </w:tr>
    </w:tbl>
    <w:p>
      <w:pPr>
        <w:pStyle w:val="TextBody"/>
        <w:bidi w:val="0"/>
        <w:jc w:val="left"/>
        <w:rPr>
          <w:rFonts w:ascii="Times New Roman" w:hAnsi="Times New Roman"/>
          <w:color w:val="000000"/>
          <w:sz w:val="24"/>
        </w:rPr>
      </w:pPr>
      <w:r>
        <w:rPr>
          <w:rFonts w:ascii="Times New Roman" w:hAnsi="Times New Roman"/>
          <w:color w:val="000000"/>
          <w:sz w:val="24"/>
        </w:rPr>
        <w:t>Ladies and Gentlemen:</w:t>
      </w:r>
    </w:p>
    <w:p>
      <w:pPr>
        <w:pStyle w:val="TextBody"/>
        <w:bidi w:val="0"/>
        <w:jc w:val="both"/>
        <w:rPr>
          <w:rFonts w:ascii="Times New Roman" w:hAnsi="Times New Roman"/>
          <w:color w:val="000000"/>
          <w:sz w:val="24"/>
        </w:rPr>
      </w:pPr>
      <w:r>
        <w:rPr>
          <w:rFonts w:ascii="Times New Roman" w:hAnsi="Times New Roman"/>
          <w:color w:val="000000"/>
          <w:sz w:val="24"/>
        </w:rPr>
        <w:t>You have requested our opinion with respect to certain matters in connection with the filing by Cardiff Oncology, Inc., a Delaware corporation (the “Company”), of a Registration Statement on Form S-8 (the “Registration Statement”) under the Securities Act of 1933, as amended, with the Securities and Exchange Commission, covering an aggregate of 3,886,650 shares (the “Shares”) of the Company’s common stock, par value $0.0001 per share (the “Common Stock”), which includes (i) 886,650 shares of the Company’s Common Stock issuable upon the vesting and exercise of stock options granted as inducement awards by the Registrant to employees in accordance with Nasdaq Listing Rule 5635(c)(4) (the “Inducement Shares”) and (ii) an additional 3,000,000 shares (the “Plan Shares” and together with the Inducement Shares, the “Shares”), which may be issued pursuant to the Company’s 2021 Equity Incentive Plan, as amended (the “Plan”).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Opinion is being furnished in accordance with the requirements of Item 8 of Form S-8 and Item 601(b)(5)(i) of Regulation S-K.</w:t>
      </w:r>
    </w:p>
    <w:p>
      <w:pPr>
        <w:pStyle w:val="TextBody"/>
        <w:bidi w:val="0"/>
        <w:jc w:val="both"/>
        <w:rPr>
          <w:rFonts w:ascii="Times New Roman" w:hAnsi="Times New Roman"/>
          <w:sz w:val="20"/>
        </w:rPr>
      </w:pPr>
      <w:r>
        <w:rPr>
          <w:rFonts w:ascii="Times New Roman" w:hAnsi="Times New Roman"/>
          <w:color w:val="000000"/>
          <w:sz w:val="24"/>
        </w:rPr>
        <w:t>In connection with this opinion, we have reviewed and relied upon the Registration Statement, the Company’s Amended and Restated Certificate of Incorporation, as amended, as in effect on the date hereof, the Company’s Bylaws effective as in effect on the date hereof (the “Bylaws”), the proceedings taken by the Company with respect to the authorization and adoption of the Plan, resolutions adopted by the board of directors of the Company, and such other documents, records, certificates, memoranda and other instruments as we deem necessary as a basis for this opinion. With respect to the foregoing documents, we have assumed the genuineness of all signatures, the authenticity of all documents submitted to us as originals and the conformity to original of all documents submitted to us as certified or reproduced copies. We have also assumed that the Shares will be uncertificated in accordance with Section 158 of the Delaware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General Corporation Law, and the transfer agent therefor will register the purchaser thereof as the registered owner of any uncertificated Shares on its stock transfer books and records. We have further assumed that (a) shares of the Common Stock currently reserved for issuance under the Plan will remain available for the issuance of the Shares, and (b) neither the Company’s charter documents nor any of the proceedings relating to either the Plan or any of the award agreements relating to the Shares will be rescinded, amended or otherwise modified prior to the issuance of the Shares. We have also obtained from public officials and officers of the Company certificates or comparable documents as to certain factual matters and, insofar as this opinion is based on matters of fact, we have relied on such certificates and comparable documents without independent investigation. We have made such other investigations as we have deemed relevant and necessary in connection with the opinions hereinafter set forth.</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the basis of the foregoing, and in reliance thereon, we are of the opinion that the Shares, when issued and sold in the manner referred to in the Plan against proper payment and consideration thereof and pursuant to the agreements that accompany the Plan, will be legally and validly issued, fully paid and nonassessable.</w:t>
      </w:r>
    </w:p>
    <w:p>
      <w:pPr>
        <w:pStyle w:val="TextBody"/>
        <w:bidi w:val="0"/>
        <w:jc w:val="both"/>
        <w:rPr>
          <w:rFonts w:ascii="Times New Roman" w:hAnsi="Times New Roman"/>
          <w:color w:val="000000"/>
          <w:sz w:val="24"/>
        </w:rPr>
      </w:pPr>
      <w:r>
        <w:rPr>
          <w:rFonts w:ascii="Times New Roman" w:hAnsi="Times New Roman"/>
          <w:color w:val="000000"/>
          <w:sz w:val="24"/>
        </w:rPr>
        <w:t>We consent to the filing of this opinion letter as Exhibit 5.1 to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pStyle w:val="TextBody"/>
        <w:bidi w:val="0"/>
        <w:jc w:val="both"/>
        <w:rPr>
          <w:rFonts w:ascii="Times New Roman" w:hAnsi="Times New Roman"/>
          <w:color w:val="000000"/>
          <w:sz w:val="24"/>
        </w:rPr>
      </w:pPr>
      <w:r>
        <w:rPr>
          <w:rFonts w:ascii="Times New Roman" w:hAnsi="Times New Roman"/>
          <w:color w:val="000000"/>
          <w:sz w:val="24"/>
        </w:rPr>
        <w:t>We express no opinion as to matters governed by any laws other than the Delaware General Corporation Law and reported decisions of the Delaware courts interpreting such law.</w:t>
      </w:r>
    </w:p>
    <w:p>
      <w:pPr>
        <w:pStyle w:val="TextBody"/>
        <w:bidi w:val="0"/>
        <w:jc w:val="both"/>
        <w:rPr>
          <w:rFonts w:ascii="Times New Roman" w:hAnsi="Times New Roman"/>
          <w:color w:val="000000"/>
          <w:sz w:val="24"/>
        </w:rPr>
      </w:pPr>
      <w:r>
        <w:rPr>
          <w:rFonts w:ascii="Times New Roman" w:hAnsi="Times New Roman"/>
          <w:color w:val="000000"/>
          <w:sz w:val="24"/>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the Plan, the award agreements related to the Shares or the Registration Statement.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Respectfully Submitted,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 Sheppard, Mullin, Richter &amp; Hampton LLP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SHEPPARD, MULLIN, RICHTER &amp; HAMPTON LLP</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4" w:name="crdf-ex23_2.htm"/>
      <w:bookmarkStart w:id="15" w:name="kscrdfex23_2"/>
      <w:bookmarkEnd w:id="14"/>
      <w:bookmarkEnd w:id="15"/>
      <w:r>
        <w:rPr/>
        <w:t> </w:t>
      </w:r>
      <w:r>
        <w:br w:type="page"/>
      </w:r>
    </w:p>
    <w:p>
      <w:pPr>
        <w:pStyle w:val="TextBody"/>
        <w:bidi w:val="0"/>
        <w:jc w:val="center"/>
        <w:rPr>
          <w:rFonts w:ascii="Trebuchet MS;sans-serif" w:hAnsi="Trebuchet MS;sans-serif"/>
          <w:color w:val="000000"/>
          <w:sz w:val="21"/>
          <w:u w:val="single"/>
        </w:rPr>
      </w:pPr>
      <w:r>
        <w:rPr>
          <w:rFonts w:ascii="Trebuchet MS;sans-serif" w:hAnsi="Trebuchet MS;sans-serif"/>
          <w:color w:val="000000"/>
          <w:sz w:val="21"/>
          <w:u w:val="single"/>
        </w:rPr>
        <w:t>Consent of Independent Registered Public Accounting Firm</w:t>
      </w:r>
    </w:p>
    <w:p>
      <w:pPr>
        <w:pStyle w:val="TextBody"/>
        <w:bidi w:val="0"/>
        <w:spacing w:before="240" w:after="283"/>
        <w:jc w:val="both"/>
        <w:rPr>
          <w:rFonts w:ascii="Trebuchet MS;sans-serif" w:hAnsi="Trebuchet MS;sans-serif"/>
          <w:color w:val="000000"/>
          <w:sz w:val="21"/>
        </w:rPr>
      </w:pPr>
      <w:r>
        <w:rPr>
          <w:rFonts w:ascii="Trebuchet MS;sans-serif" w:hAnsi="Trebuchet MS;sans-serif"/>
          <w:color w:val="000000"/>
          <w:sz w:val="21"/>
        </w:rPr>
        <w:t>We hereby consent to the incorporation by reference in this Registration Statement of our report dated February 24, 2026, relating to the financial statements of Cardiff Oncology, Inc. (the “Company”) appearing in the Company’s Annual Report on Form 10-K for the year ended December 31, 2025. Our report contains an explanatory paragraph regarding the Company's ability to continue as a going concern.</w:t>
      </w:r>
    </w:p>
    <w:p>
      <w:pPr>
        <w:pStyle w:val="TextBody"/>
        <w:bidi w:val="0"/>
        <w:spacing w:before="240" w:after="283"/>
        <w:jc w:val="both"/>
        <w:rPr>
          <w:rFonts w:ascii="Trebuchet MS;sans-serif" w:hAnsi="Trebuchet MS;sans-serif"/>
          <w:color w:val="000000"/>
          <w:sz w:val="21"/>
        </w:rPr>
      </w:pPr>
      <w:r>
        <w:rPr>
          <w:rFonts w:ascii="Trebuchet MS;sans-serif" w:hAnsi="Trebuchet MS;sans-serif"/>
          <w:color w:val="000000"/>
          <w:sz w:val="21"/>
        </w:rPr>
        <w:t>/s/ BDO USA, P.C.</w:t>
      </w:r>
    </w:p>
    <w:p>
      <w:pPr>
        <w:pStyle w:val="TextBody"/>
        <w:bidi w:val="0"/>
        <w:jc w:val="both"/>
        <w:rPr>
          <w:rFonts w:ascii="Trebuchet MS;sans-serif" w:hAnsi="Trebuchet MS;sans-serif"/>
          <w:color w:val="000000"/>
          <w:sz w:val="21"/>
        </w:rPr>
      </w:pPr>
      <w:r>
        <w:rPr>
          <w:rFonts w:ascii="Trebuchet MS;sans-serif" w:hAnsi="Trebuchet MS;sans-serif"/>
          <w:color w:val="000000"/>
          <w:sz w:val="21"/>
        </w:rPr>
        <w:t>San Diego, California</w:t>
      </w:r>
    </w:p>
    <w:p>
      <w:pPr>
        <w:pStyle w:val="TextBody"/>
        <w:bidi w:val="0"/>
        <w:jc w:val="both"/>
        <w:rPr/>
      </w:pPr>
      <w:r>
        <w:rPr/>
        <w:t> </w:t>
      </w:r>
    </w:p>
    <w:p>
      <w:pPr>
        <w:pStyle w:val="TextBody"/>
        <w:bidi w:val="0"/>
        <w:jc w:val="both"/>
        <w:rPr>
          <w:rFonts w:ascii="Times New Roman" w:hAnsi="Times New Roman"/>
          <w:sz w:val="20"/>
        </w:rPr>
      </w:pPr>
      <w:r>
        <w:rPr>
          <w:rFonts w:ascii="Trebuchet MS;sans-serif" w:hAnsi="Trebuchet MS;sans-serif"/>
          <w:color w:val="000000"/>
          <w:sz w:val="21"/>
        </w:rPr>
        <w:t>July 21, 2026</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 w:name="crdf-ex99_1.htm"/>
      <w:bookmarkStart w:id="17" w:name="kscrdfex99_1"/>
      <w:bookmarkEnd w:id="16"/>
      <w:bookmarkEnd w:id="17"/>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CARDIFF ONCOLOGY,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STOCK OPTION GRANT AGREEMENT</w:t>
      </w:r>
    </w:p>
    <w:p>
      <w:pPr>
        <w:pStyle w:val="TextBody"/>
        <w:bidi w:val="0"/>
        <w:jc w:val="center"/>
        <w:rPr>
          <w:rFonts w:ascii="Times New Roman" w:hAnsi="Times New Roman"/>
          <w:b/>
          <w:color w:val="000000"/>
          <w:sz w:val="24"/>
        </w:rPr>
      </w:pPr>
      <w:r>
        <w:rPr>
          <w:rFonts w:ascii="Times New Roman" w:hAnsi="Times New Roman"/>
          <w:b/>
          <w:color w:val="000000"/>
          <w:sz w:val="24"/>
        </w:rPr>
        <w:t>FOR NONSTATUTORY STOCK OPTIONS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Cardiff Oncology, Inc., a Delaware corporation (the “Company”) does hereby grant to </w:t>
      </w:r>
      <w:r>
        <w:rPr>
          <w:rFonts w:ascii="Times New Roman" w:hAnsi="Times New Roman"/>
          <w:b/>
          <w:color w:val="000000"/>
          <w:sz w:val="24"/>
        </w:rPr>
        <w:t xml:space="preserve">Josh Muntner </w:t>
      </w:r>
      <w:r>
        <w:rPr>
          <w:rFonts w:ascii="Times New Roman" w:hAnsi="Times New Roman"/>
          <w:color w:val="000000"/>
          <w:sz w:val="24"/>
        </w:rPr>
        <w:t>(the “Optionee”), an option (the “Option”) that is NOT intended to qualify as an incentive stock option pursuant to Section 422(b) of the Internal Revenue Code, to purchase shares of the Company’s common stock (“Stock”) in the number and subject to terms and conditions of this Stock Option Grant Agreement (the “Grant Agreement”). The following are the general terms of the Option for shares of Stock (“Option Shares”) granted to Optionee by this Grant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grant date of the Option (“Grant Date”) is </w:t>
      </w:r>
      <w:r>
        <w:rPr>
          <w:rFonts w:ascii="Times New Roman" w:hAnsi="Times New Roman"/>
          <w:b/>
          <w:color w:val="000000"/>
          <w:sz w:val="24"/>
          <w:u w:val="single"/>
        </w:rPr>
        <w:t>April 6,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number of Option Shares granted to Optionee is </w:t>
      </w:r>
      <w:r>
        <w:rPr>
          <w:rFonts w:ascii="Times New Roman" w:hAnsi="Times New Roman"/>
          <w:b/>
          <w:color w:val="000000"/>
          <w:sz w:val="24"/>
          <w:u w:val="single"/>
        </w:rPr>
        <w:t xml:space="preserve">486,650 </w:t>
      </w:r>
      <w:r>
        <w:rPr>
          <w:rFonts w:ascii="Times New Roman" w:hAnsi="Times New Roman"/>
          <w:color w:val="000000"/>
          <w:sz w:val="24"/>
        </w:rPr>
        <w:t>shares of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exercise price (“Exercise Price”) at which Optionee can purchase Option Shares is </w:t>
      </w:r>
      <w:r>
        <w:rPr>
          <w:rFonts w:ascii="Times New Roman" w:hAnsi="Times New Roman"/>
          <w:b/>
          <w:color w:val="000000"/>
          <w:sz w:val="24"/>
          <w:u w:val="single"/>
        </w:rPr>
        <w:t>$1.58</w:t>
      </w:r>
      <w:r>
        <w:rPr>
          <w:rFonts w:ascii="Times New Roman" w:hAnsi="Times New Roman"/>
          <w:color w:val="000000"/>
          <w:sz w:val="24"/>
        </w:rPr>
        <w:t>per share.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Option is not immediately exercisable</w:t>
      </w:r>
      <w:r>
        <w:rPr>
          <w:rFonts w:ascii="Times New Roman" w:hAnsi="Times New Roman"/>
          <w:b/>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first day that Option Shares commence to vest is </w:t>
      </w:r>
      <w:r>
        <w:rPr>
          <w:rFonts w:ascii="Times New Roman" w:hAnsi="Times New Roman"/>
          <w:b/>
          <w:color w:val="000000"/>
          <w:sz w:val="24"/>
          <w:u w:val="single"/>
        </w:rPr>
        <w:t>April 6, 2026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Vesting Commencement Date”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Option Shares shall vest in accordance with the following schedule (“</w:t>
      </w:r>
      <w:r>
        <w:rPr>
          <w:rFonts w:ascii="Times New Roman" w:hAnsi="Times New Roman"/>
          <w:b/>
          <w:color w:val="000000"/>
          <w:sz w:val="24"/>
        </w:rPr>
        <w:t>Vesting Schedule</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121,663 of the Options vest on April 6, 2027 and 10,139 vest monthly for 36 months beginning on May 6, 2027, provided the Optionee on the vesting date continues to provide services to the Company or an Affiliate</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Option shall expire, and be of no further force or effect, on the tenth anniversary of the Grant Date; provided, however, the Option shall expire within (i) ninety (90) days of termination of service in the event Optionee’s service with the Company or its Affiliates is terminated for any reason other than for Cause or because of Disability or death or (ii) six (6) months following the date of Optionee’s termination of employment with the Company or its Affiliates due to the Optionee’s death or Disability.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entire Option (vested or unvested) held by the Optionee immediately prior to the termination of Optionee’s employment shall immediately terminate upon such termination of employment if such termination of employment was for Cause.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option may be exercised by delivering to the Secretary of the Company (i) a written Notice of Intention to Exercise in the form attached hereto as Exhibit A signed by the Optionee and specifying the number of Optioned Shares he desires to purchase, (ii) payment in full of the exercise price for all such Optioned Shares in cash, certified check or surrender of shares of Common Stock of the Company having a value equal to the exercise price of the Optioned Shares as to which Optionee is exercising this Option, provided that such surrendered shares, if previously acquired by exercise of a Company stock option, have been held by Optionee at least six months prior to their surrender. As a holder of an option, Optionee shall have the rights of a shareholder with respect to the Optioned Shares only after they shall have been issued to Optionee upon the exercise of this option. Subject to the terms and provisions of this Agreement, the Company shall use its best efforts to cause the Optioned Shares to be issued as promptly as practicable after receipt of the Notice of Intention to Exercise.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Option shall not be transferable and may be exercised during Optionee’s lifetime only by Optionee. Any purported transfer or assignment of this option shall be void and of no effect, and shall give the Company the right to terminate this option as of the date of such purported transfer or assignment. No transfer of an option by Optionee by will or by the laws of descent and distribution shall be effective unless the Company have been furnished with written notice thereof, and such other evidence as the Board of Directors may deem necessary to establish the validity of the transfer and conditions of the option, and to establish compliance with any laws or regulations pertaining thereto</w:t>
      </w:r>
    </w:p>
    <w:p>
      <w:pPr>
        <w:pStyle w:val="TextBody"/>
        <w:bidi w:val="0"/>
        <w:jc w:val="left"/>
        <w:rPr>
          <w:rFonts w:ascii="Times New Roman" w:hAnsi="Times New Roman"/>
          <w:sz w:val="20"/>
        </w:rPr>
      </w:pPr>
      <w:r>
        <w:rPr>
          <w:rFonts w:ascii="Times New Roman" w:hAnsi="Times New Roman"/>
          <w:color w:val="000000"/>
          <w:sz w:val="24"/>
        </w:rPr>
        <w:t>The Optionee hereby accepts this Option subject to all of the terms and provisions thereof. The Optionee hereby agrees to accept as binding, conclusive and final all decisions or interpretations of the Board of Directors upon any questions arising under the Option.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067" w:type="dxa"/>
        <w:jc w:val="left"/>
        <w:tblInd w:w="0" w:type="dxa"/>
        <w:tblLayout w:type="fixed"/>
        <w:tblCellMar>
          <w:top w:w="28" w:type="dxa"/>
          <w:left w:w="28" w:type="dxa"/>
          <w:bottom w:w="28" w:type="dxa"/>
          <w:right w:w="28" w:type="dxa"/>
        </w:tblCellMar>
      </w:tblPr>
      <w:tblGrid>
        <w:gridCol w:w="1681"/>
        <w:gridCol w:w="146"/>
        <w:gridCol w:w="148"/>
        <w:gridCol w:w="3092"/>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CARDIFF ONCOLOGY, INC.</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Josh Muntner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By: /s/ Mani Mohindru</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Executed (Date)</w:t>
            </w:r>
          </w:p>
        </w:tc>
        <w:tc>
          <w:tcPr>
            <w:tcW w:w="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9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Mani Mohindru, CEO</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A</w:t>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The Optionee may not exercise any of the vested Option Shares more than 90 days after the first date on which he or she ceases to provide services to the Company or a Subsidiary.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of Change of Control (as defined in the Plan), all of the Option Shares will vest and become immediately exercisable.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crdf-ex99_2.htm"/>
      <w:bookmarkStart w:id="19" w:name="kscrdfex99_2"/>
      <w:bookmarkEnd w:id="18"/>
      <w:bookmarkEnd w:id="19"/>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CARDIFF ONCOLOGY,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STOCK OPTION GRANT AGREEMENT</w:t>
      </w:r>
    </w:p>
    <w:p>
      <w:pPr>
        <w:pStyle w:val="TextBody"/>
        <w:bidi w:val="0"/>
        <w:jc w:val="center"/>
        <w:rPr>
          <w:rFonts w:ascii="Times New Roman" w:hAnsi="Times New Roman"/>
          <w:b/>
          <w:color w:val="000000"/>
          <w:sz w:val="24"/>
        </w:rPr>
      </w:pPr>
      <w:r>
        <w:rPr>
          <w:rFonts w:ascii="Times New Roman" w:hAnsi="Times New Roman"/>
          <w:b/>
          <w:color w:val="000000"/>
          <w:sz w:val="24"/>
        </w:rPr>
        <w:t>FOR NONSTATUTORY STOCK OPTIONS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Cardiff Oncology, Inc., a Delaware corporation (the “Company”) does hereby grant to </w:t>
      </w:r>
      <w:r>
        <w:rPr>
          <w:rFonts w:ascii="Times New Roman" w:hAnsi="Times New Roman"/>
          <w:b/>
          <w:color w:val="000000"/>
          <w:sz w:val="24"/>
        </w:rPr>
        <w:t xml:space="preserve">Ajay Aggarwal </w:t>
      </w:r>
      <w:r>
        <w:rPr>
          <w:rFonts w:ascii="Times New Roman" w:hAnsi="Times New Roman"/>
          <w:color w:val="000000"/>
          <w:sz w:val="24"/>
        </w:rPr>
        <w:t>(the “Optionee”), an option (the “Option”) that is NOT intended to qualify as an incentive stock option pursuant to Section 422(b) of the Internal Revenue Code, to purchase shares of the Company’s common stock (“Stock”) in the number and subject to terms and conditions of this Stock Option Grant Agreement (the “Grant Agreement”). The following are the general terms of the Option for shares of Stock (“Option Shares”) granted to Optionee by this Grant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grant date of the Option (“Grant Date”) is </w:t>
      </w:r>
      <w:r>
        <w:rPr>
          <w:rFonts w:ascii="Times New Roman" w:hAnsi="Times New Roman"/>
          <w:b/>
          <w:color w:val="000000"/>
          <w:sz w:val="24"/>
          <w:u w:val="single"/>
        </w:rPr>
        <w:t>April 27,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number of Option Shares granted to Optionee is </w:t>
      </w:r>
      <w:r>
        <w:rPr>
          <w:rFonts w:ascii="Times New Roman" w:hAnsi="Times New Roman"/>
          <w:b/>
          <w:color w:val="000000"/>
          <w:sz w:val="24"/>
          <w:u w:val="single"/>
        </w:rPr>
        <w:t xml:space="preserve">400,000 </w:t>
      </w:r>
      <w:r>
        <w:rPr>
          <w:rFonts w:ascii="Times New Roman" w:hAnsi="Times New Roman"/>
          <w:color w:val="000000"/>
          <w:sz w:val="24"/>
        </w:rPr>
        <w:t>shares of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exercise price (“Exercise Price”) at which Optionee can purchase Option Shares is </w:t>
      </w:r>
      <w:r>
        <w:rPr>
          <w:rFonts w:ascii="Times New Roman" w:hAnsi="Times New Roman"/>
          <w:b/>
          <w:color w:val="000000"/>
          <w:sz w:val="24"/>
          <w:u w:val="single"/>
        </w:rPr>
        <w:t>$1.72</w:t>
      </w:r>
      <w:r>
        <w:rPr>
          <w:rFonts w:ascii="Times New Roman" w:hAnsi="Times New Roman"/>
          <w:color w:val="000000"/>
          <w:sz w:val="24"/>
        </w:rPr>
        <w:t>per share.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Option is not immediately exercisable</w:t>
      </w:r>
      <w:r>
        <w:rPr>
          <w:rFonts w:ascii="Times New Roman" w:hAnsi="Times New Roman"/>
          <w:b/>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first day that Option Shares commence to vest is </w:t>
      </w:r>
      <w:r>
        <w:rPr>
          <w:rFonts w:ascii="Times New Roman" w:hAnsi="Times New Roman"/>
          <w:b/>
          <w:color w:val="000000"/>
          <w:sz w:val="24"/>
          <w:u w:val="single"/>
        </w:rPr>
        <w:t>April 27, 2026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Vesting Commencement Date”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Option Shares shall vest in accordance with the following schedule (“</w:t>
      </w:r>
      <w:r>
        <w:rPr>
          <w:rFonts w:ascii="Times New Roman" w:hAnsi="Times New Roman"/>
          <w:b/>
          <w:color w:val="000000"/>
          <w:sz w:val="24"/>
        </w:rPr>
        <w:t>Vesting Schedule</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100,000 of the Options vest on April 27, 2027 and 8,333 vest monthly for 36 months beginning on May 27, 2027, provided the Optionee on the vesting date continues to provide services to the Company or an Affiliate</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Option shall expire, and be of no further force or effect, on the tenth anniversary of the Grant Date; provided, however, the Option shall expire within (i) ninety (90) days of termination of service in the event Optionee’s service with the Company or its Affiliates is terminated for any reason other than for Cause or because of Disability or death or (ii) six (6) months following the date of Optionee’s termination of employment with the Company or its Affiliates due to the Optionee’s death or Disability.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entire Option (vested or unvested) held by the Optionee immediately prior to the termination of Optionee’s employment shall immediately terminate upon such termination of employment if such termination of employment was for Cause.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option may be exercised by delivering to the Secretary of the Company (i) a written Notice of Intention to Exercise in the form attached hereto as Exhibit A signed by the Optionee and specifying the number of Optioned Shares he desires to purchase, (ii) payment in full of the exercise price for all such Optioned Shares in cash, certified check or surrender of shares of Common Stock of the Company having a value equal to the exercise price of the Optioned Shares as to which Optionee is exercising this Option, provided that such surrendered shares, if previously acquired by exercise of a Company stock option, have been held by Optionee at least six months prior to their surrender. As a holder of an option, Optionee shall have the rights of a shareholder with respect to the Optioned Shares only after they shall have been issued to Optionee upon the exercise of this option. Subject to the terms and provisions of this Agreement, the Company shall use its best efforts to cause the Optioned Shares to be issued as promptly as practicable after receipt of the Notice of Intention to Exercise.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Option shall not be transferable and may be exercised during Optionee’s lifetime only by Optionee. Any purported transfer or assignment of this option shall be void and of no effect, and shall give the Company the right to terminate this option as of the date of such purported transfer or assignment. No transfer of an option by Optionee by will or by the laws of descent and distribution shall be effective unless the Company have been furnished with written notice thereof, and such other evidence as the Board of Directors may deem necessary to establish the validity of the transfer and conditions of the option, and to establish compliance with any laws or regulations pertaining thereto</w:t>
      </w:r>
    </w:p>
    <w:p>
      <w:pPr>
        <w:pStyle w:val="TextBody"/>
        <w:bidi w:val="0"/>
        <w:jc w:val="left"/>
        <w:rPr>
          <w:rFonts w:ascii="Times New Roman" w:hAnsi="Times New Roman"/>
          <w:sz w:val="20"/>
        </w:rPr>
      </w:pPr>
      <w:r>
        <w:rPr>
          <w:rFonts w:ascii="Times New Roman" w:hAnsi="Times New Roman"/>
          <w:color w:val="000000"/>
          <w:sz w:val="24"/>
        </w:rPr>
        <w:t>The Optionee hereby accepts this Option subject to all of the terms and provisions thereof. The Optionee hereby agrees to accept as binding, conclusive and final all decisions or interpretations of the Board of Directors upon any questions arising under the Option.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247" w:type="dxa"/>
        <w:jc w:val="left"/>
        <w:tblInd w:w="0" w:type="dxa"/>
        <w:tblLayout w:type="fixed"/>
        <w:tblCellMar>
          <w:top w:w="28" w:type="dxa"/>
          <w:left w:w="28" w:type="dxa"/>
          <w:bottom w:w="28" w:type="dxa"/>
          <w:right w:w="28" w:type="dxa"/>
        </w:tblCellMar>
      </w:tblPr>
      <w:tblGrid>
        <w:gridCol w:w="1861"/>
        <w:gridCol w:w="146"/>
        <w:gridCol w:w="148"/>
        <w:gridCol w:w="3092"/>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CARDIFF ONCOLOGY, INC.</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Ajay Aggarwal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By: /s/ Mani Mohindru</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Executed (Date)</w:t>
            </w:r>
          </w:p>
        </w:tc>
        <w:tc>
          <w:tcPr>
            <w:tcW w:w="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9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Mani Mohindru, CEO</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A</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The Optionee may not exercise any of the vested Option Shares more than 90 days after the first date on which he or she ceases to provide services to the Company or a Subsidiary.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of Change of Control (as defined in the Plan), all of the Option Shares will vest and become immediately exercisable.</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crdf_exfilingfees.htm"/>
      <w:bookmarkStart w:id="21" w:name="kscrdf_exfilingfees"/>
      <w:bookmarkEnd w:id="20"/>
      <w:bookmarkEnd w:id="21"/>
      <w:r>
        <w:rPr/>
        <w:t> </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Calculation of Filing Fee Tables</w:t>
      </w:r>
    </w:p>
    <w:p>
      <w:pPr>
        <w:pStyle w:val="TextBody"/>
        <w:bidi w:val="0"/>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1: Newly Registered and Carry Forward Securities</w:t>
      </w:r>
    </w:p>
    <w:tbl>
      <w:tblPr>
        <w:tblW w:w="10205" w:type="dxa"/>
        <w:jc w:val="left"/>
        <w:tblInd w:w="0" w:type="dxa"/>
        <w:tblLayout w:type="fixed"/>
        <w:tblCellMar>
          <w:top w:w="28" w:type="dxa"/>
          <w:left w:w="28" w:type="dxa"/>
          <w:bottom w:w="28" w:type="dxa"/>
          <w:right w:w="28" w:type="dxa"/>
        </w:tblCellMar>
      </w:tblPr>
      <w:tblGrid>
        <w:gridCol w:w="161"/>
        <w:gridCol w:w="888"/>
        <w:gridCol w:w="146"/>
        <w:gridCol w:w="1190"/>
        <w:gridCol w:w="146"/>
        <w:gridCol w:w="1096"/>
        <w:gridCol w:w="146"/>
        <w:gridCol w:w="1092"/>
        <w:gridCol w:w="146"/>
        <w:gridCol w:w="298"/>
        <w:gridCol w:w="745"/>
        <w:gridCol w:w="146"/>
        <w:gridCol w:w="216"/>
        <w:gridCol w:w="954"/>
        <w:gridCol w:w="146"/>
        <w:gridCol w:w="146"/>
        <w:gridCol w:w="991"/>
        <w:gridCol w:w="146"/>
        <w:gridCol w:w="287"/>
        <w:gridCol w:w="924"/>
        <w:gridCol w:w="195"/>
      </w:tblGrid>
      <w:tr>
        <w:trPr/>
        <w:tc>
          <w:tcPr>
            <w:tcW w:w="1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Type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w:t>
              <w:br/>
              <w:t>Class</w:t>
              <w:b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w:t>
              <w:br/>
              <w:t>Calculation</w:t>
              <w:br/>
              <w:t>or Carry</w:t>
              <w:br/>
              <w:t xml:space="preserve">Forward </w:t>
              <w:br/>
              <w:t>Rule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br/>
              <w:t>Registered(1)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4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Proposed</w:t>
              <w:br/>
              <w:t>Maximum</w:t>
              <w:br/>
              <w:t>Offering Price</w:t>
              <w:br/>
              <w:t>Per Unit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w:t>
              <w:br/>
              <w:t>Aggregate</w:t>
              <w:br/>
              <w:t>Offering Price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w:t>
              <w:br/>
              <w:t>Registration Fee</w:t>
            </w:r>
          </w:p>
        </w:tc>
        <w:tc>
          <w:tcPr>
            <w:tcW w:w="1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457(h)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1,454,106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0.0001381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457(c)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gridSpan w:val="5"/>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Offering Amounts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4,154,106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2" w:type="dxa"/>
            <w:gridSpan w:val="16"/>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Fees Previously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92" w:type="dxa"/>
            <w:gridSpan w:val="16"/>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Fee Offsets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Fee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Pursuant to Rule 416 under the Securities Act of 1933 (the “Securities Act”), the securities being registered hereunder also include such indeterminate number of additional shares of common stock as may from time to time be issued after the date hereof as a result of stock splits, stock dividends, recapitalizations or similar transactions.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Estimated solely for the purpose of calculating the registration fee in accordance with Rule 457(h) of the Securities Act, based on the weighted average exercise price of $1.64 per share.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Estimated solely for the purpose of calculating the registration fee in accordance with Rule 457(c) of the Securities Act, based on the high and low sales prices of the Registrant’s common stock as reported on the Nasdaq Capital Market on July 16, 2026, which date is within five business days prior to the filing of this Registration Statement.</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hyperlink" Target="https://www.sec.gov/Archives/edgar/data/1213037/000119312526067464/crdf-20251231.htm" TargetMode="External"/><Relationship Id="rId5" Type="http://schemas.openxmlformats.org/officeDocument/2006/relationships/hyperlink" Target="https://www.sec.gov/Archives/edgar/data/1213037/000121303726000011/crdf-20260331.htm" TargetMode="External"/><Relationship Id="rId6" Type="http://schemas.openxmlformats.org/officeDocument/2006/relationships/hyperlink" Target="https://www.sec.gov/Archives/edgar/data/1213037/000119312526024375/crdf-20260127.htm" TargetMode="External"/><Relationship Id="rId7" Type="http://schemas.openxmlformats.org/officeDocument/2006/relationships/hyperlink" Target="https://www.sec.gov/Archives/edgar/data/1213037/000119312526140152/crdf-20260327.htm" TargetMode="External"/><Relationship Id="rId8" Type="http://schemas.openxmlformats.org/officeDocument/2006/relationships/hyperlink" Target="https://www.sec.gov/Archives/edgar/data/1213037/000119312526149623/crdf-20260406.htm" TargetMode="External"/><Relationship Id="rId9" Type="http://schemas.openxmlformats.org/officeDocument/2006/relationships/hyperlink" Target="https://www.sec.gov/Archives/edgar/data/1213037/000119312526231040/crdf-20260519.htm" TargetMode="External"/><Relationship Id="rId10" Type="http://schemas.openxmlformats.org/officeDocument/2006/relationships/hyperlink" Target="https://www.sec.gov/Archives/edgar/data/1213037/000119312526248711/crdf-20260527.htm" TargetMode="External"/><Relationship Id="rId11" Type="http://schemas.openxmlformats.org/officeDocument/2006/relationships/hyperlink" Target="https://www.sec.gov/Archives/edgar/data/1213037/000119312526267563/crdf-20260611.htm" TargetMode="External"/><Relationship Id="rId12" Type="http://schemas.openxmlformats.org/officeDocument/2006/relationships/hyperlink" Target="https://www.sec.gov/ix?doc=/Archives/edgar/data/1213037/000119312526305467/crdf-20260714.htm" TargetMode="External"/><Relationship Id="rId13" Type="http://schemas.openxmlformats.org/officeDocument/2006/relationships/hyperlink" Target="https://www.sec.gov/Archives/edgar/data/1213037/000121303726000006/0001213037-26-000006-index.html" TargetMode="External"/><Relationship Id="rId14" Type="http://schemas.openxmlformats.org/officeDocument/2006/relationships/hyperlink" Target="https://www.sec.gov/Archives/edgar/data/1213037/000110465912039425/a12-9768_98a12b.htm" TargetMode="External"/><Relationship Id="rId15" Type="http://schemas.openxmlformats.org/officeDocument/2006/relationships/image" Target="media/image1.gif"/><Relationship Id="rId16" Type="http://schemas.openxmlformats.org/officeDocument/2006/relationships/image" Target="media/image1.gif"/><Relationship Id="rId17" Type="http://schemas.openxmlformats.org/officeDocument/2006/relationships/hyperlink" Target="https://www.sec.gov/Archives/edgar/data/1213037/000110465911066179/a11-28276_1ex3d1.htm" TargetMode="External"/><Relationship Id="rId18" Type="http://schemas.openxmlformats.org/officeDocument/2006/relationships/hyperlink" Target="https://www.sec.gov/Archives/edgar/data/1213037/000110465912019409/a12-6668_1def14a.htm" TargetMode="External"/><Relationship Id="rId19" Type="http://schemas.openxmlformats.org/officeDocument/2006/relationships/hyperlink" Target="https://www.sec.gov/Archives/edgar/data/1213037/000095017025002076/crdf-ex3_1.htm" TargetMode="External"/><Relationship Id="rId20" Type="http://schemas.openxmlformats.org/officeDocument/2006/relationships/hyperlink" Target="https://www.sec.gov/Archives/edgar/data/1213037/000162828022009196/a2022proxy.htm" TargetMode="External"/><Relationship Id="rId21" Type="http://schemas.openxmlformats.org/officeDocument/2006/relationships/image" Target="media/image1.gif"/><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5560</Words>
  <Characters>29120</Characters>
  <CharactersWithSpaces>34784</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