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Cardiff Oncology,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001-35558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27-2004382</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11055 Flintkote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952-7570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CRDF</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On June 11, 2026, Cardiff Oncology, Inc. (the “Company”) held its Annual Meeting of Stockholders (the “Annual Meeting”). A total of 41,614,848 shares of common stock, constituting a quorum, were represented in person or by valid proxies at the Annual Meeting. The final results for each of the matters submitted to a vote of stockholders at the Annual Meeting, as set forth in the Definitive Proxy Statement, filed with the Securities and Exchange Commission on April 23, 2026 are as follows:</w:t>
      </w:r>
    </w:p>
    <w:p>
      <w:pPr>
        <w:spacing w:after="0" w:line="178"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All of the six (6) nominees for director were elected to serve until the 2027 Annual Meeting of Stockholders or until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have been duly elected and qualified, or until such director’s earlier resignation, removal or death. The result of the votes to elect the six (6) directors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20" w:type="dxa"/>
            <w:vAlign w:val="bottom"/>
          </w:tcPr>
          <w:p>
            <w:pPr>
              <w:spacing w:after="0"/>
              <w:rPr>
                <w:sz w:val="18"/>
                <w:szCs w:val="18"/>
                <w:color w:val="auto"/>
              </w:rPr>
            </w:pPr>
          </w:p>
        </w:tc>
        <w:tc>
          <w:tcPr>
            <w:tcW w:w="12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w:t>
            </w:r>
          </w:p>
        </w:tc>
        <w:tc>
          <w:tcPr>
            <w:tcW w:w="320" w:type="dxa"/>
            <w:vAlign w:val="bottom"/>
          </w:tcPr>
          <w:p>
            <w:pPr>
              <w:spacing w:after="0"/>
              <w:rPr>
                <w:sz w:val="18"/>
                <w:szCs w:val="18"/>
                <w:color w:val="auto"/>
              </w:rPr>
            </w:pP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0" w:type="dxa"/>
            <w:vAlign w:val="bottom"/>
          </w:tcPr>
          <w:p>
            <w:pPr>
              <w:spacing w:after="0"/>
              <w:rPr>
                <w:sz w:val="18"/>
                <w:szCs w:val="18"/>
                <w:color w:val="auto"/>
              </w:rPr>
            </w:pPr>
          </w:p>
        </w:tc>
        <w:tc>
          <w:tcPr>
            <w:tcW w:w="12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20" w:type="dxa"/>
            <w:vAlign w:val="bottom"/>
          </w:tcPr>
          <w:p>
            <w:pPr>
              <w:spacing w:after="0"/>
              <w:rPr>
                <w:sz w:val="18"/>
                <w:szCs w:val="18"/>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Broker Non</w:t>
            </w:r>
          </w:p>
        </w:tc>
        <w:tc>
          <w:tcPr>
            <w:tcW w:w="0" w:type="dxa"/>
            <w:vAlign w:val="bottom"/>
          </w:tcPr>
          <w:p>
            <w:pPr>
              <w:spacing w:after="0"/>
              <w:rPr>
                <w:sz w:val="1"/>
                <w:szCs w:val="1"/>
                <w:color w:val="auto"/>
              </w:rPr>
            </w:pPr>
          </w:p>
        </w:tc>
      </w:tr>
      <w:tr>
        <w:trPr>
          <w:trHeight w:val="130"/>
        </w:trPr>
        <w:tc>
          <w:tcPr>
            <w:tcW w:w="4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Vote</w:t>
            </w:r>
          </w:p>
        </w:tc>
        <w:tc>
          <w:tcPr>
            <w:tcW w:w="0" w:type="dxa"/>
            <w:vAlign w:val="bottom"/>
          </w:tcPr>
          <w:p>
            <w:pPr>
              <w:spacing w:after="0"/>
              <w:rPr>
                <w:sz w:val="1"/>
                <w:szCs w:val="1"/>
                <w:color w:val="auto"/>
              </w:rPr>
            </w:pPr>
          </w:p>
        </w:tc>
      </w:tr>
      <w:tr>
        <w:trPr>
          <w:trHeight w:val="108"/>
        </w:trPr>
        <w:tc>
          <w:tcPr>
            <w:tcW w:w="4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 James O. Armitage</w:t>
            </w: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18,806,657</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522,756</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22,285,435</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Dr. Rodney Markin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18,647,050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682,361</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22,285,437</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Mani Mohindru, Ph.D.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18,942,979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386,435</w:t>
            </w:r>
          </w:p>
        </w:tc>
        <w:tc>
          <w:tcPr>
            <w:tcW w:w="15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22,285,434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Gary W. Pace, Ph.D.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18,877,743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451,668</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22,285,437</w:t>
            </w: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Renee P. Tannenbaum, Pharm.D.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18,790,068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539,345</w:t>
            </w:r>
          </w:p>
        </w:tc>
        <w:tc>
          <w:tcPr>
            <w:tcW w:w="158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22,285,435</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Lâle White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18,710,040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619,373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22,285,435</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The appointment of BDO USA, P.C. as the Company’s independent registered public accounting firm for its fiscal year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was ratified and approved by the stockholders by the votes set forth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 Vote</w:t>
            </w:r>
          </w:p>
        </w:tc>
      </w:tr>
      <w:tr>
        <w:trPr>
          <w:trHeight w:val="209"/>
        </w:trPr>
        <w:tc>
          <w:tcPr>
            <w:tcW w:w="270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40,239,508</w:t>
            </w:r>
          </w:p>
        </w:tc>
        <w:tc>
          <w:tcPr>
            <w:tcW w:w="294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1,070,807</w:t>
            </w:r>
          </w:p>
        </w:tc>
        <w:tc>
          <w:tcPr>
            <w:tcW w:w="29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304,529</w:t>
            </w:r>
          </w:p>
        </w:tc>
        <w:tc>
          <w:tcPr>
            <w:tcW w:w="2680" w:type="dxa"/>
            <w:vAlign w:val="bottom"/>
            <w:gridSpan w:val="2"/>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An amendment to the Company’s 2021 Equity Incentive Plan to increase the number of shares issuable thereunder to 15,150,000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was approved by the stockholders by the votes 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 Vote</w:t>
            </w:r>
          </w:p>
        </w:tc>
      </w:tr>
      <w:tr>
        <w:trPr>
          <w:trHeight w:val="210"/>
        </w:trPr>
        <w:tc>
          <w:tcPr>
            <w:tcW w:w="270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10,740,460</w:t>
            </w:r>
          </w:p>
        </w:tc>
        <w:tc>
          <w:tcPr>
            <w:tcW w:w="294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8,063,520</w:t>
            </w:r>
          </w:p>
        </w:tc>
        <w:tc>
          <w:tcPr>
            <w:tcW w:w="29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525,431</w:t>
            </w:r>
          </w:p>
        </w:tc>
        <w:tc>
          <w:tcPr>
            <w:tcW w:w="268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22,285,437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-147955</wp:posOffset>
            </wp:positionV>
            <wp:extent cx="14605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-147955</wp:posOffset>
            </wp:positionV>
            <wp:extent cx="14605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1143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-147955</wp:posOffset>
            </wp:positionV>
            <wp:extent cx="13716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176"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4. </w:t>
      </w:r>
      <w:r>
        <w:rPr>
          <w:rFonts w:ascii="Times New Roman" w:cs="Times New Roman" w:eastAsia="Times New Roman" w:hAnsi="Times New Roman"/>
          <w:sz w:val="18"/>
          <w:szCs w:val="18"/>
          <w:color w:val="auto"/>
        </w:rPr>
        <w:t>The advisory vote on the compensation of the Company’s named executive officers was approved by the stockholders by the votes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27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 Vote</w:t>
            </w:r>
          </w:p>
        </w:tc>
      </w:tr>
      <w:tr>
        <w:trPr>
          <w:trHeight w:val="210"/>
        </w:trPr>
        <w:tc>
          <w:tcPr>
            <w:tcW w:w="270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17,120,176</w:t>
            </w:r>
          </w:p>
        </w:tc>
        <w:tc>
          <w:tcPr>
            <w:tcW w:w="2940" w:type="dxa"/>
            <w:vAlign w:val="bottom"/>
            <w:gridSpan w:val="2"/>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1,772,185</w:t>
            </w:r>
          </w:p>
        </w:tc>
        <w:tc>
          <w:tcPr>
            <w:tcW w:w="29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437,049</w:t>
            </w:r>
          </w:p>
        </w:tc>
        <w:tc>
          <w:tcPr>
            <w:tcW w:w="268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22,285,438</w:t>
            </w:r>
          </w:p>
        </w:tc>
      </w:tr>
    </w:tbl>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CARDIFF ONCOLOGY,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Mani Mohindru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Mani Mohindru</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5"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2026-06-11T15:23:47Z</dcterms:created>
  <dcterms:modified xsi:type="dcterms:W3CDTF">2026-06-11T15:23:47Z</dcterms:modified>
</cp:coreProperties>
</file>