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df-20260714.htm"/>
      <w:bookmarkStart w:id="1" w:name="kscrdf2026071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Cardiff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001-35558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27-2004382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11055 Flintkote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952-7570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CRDF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14, 2026, Cardiff Oncology, Inc. (the “Company”) entered into a securities purchase agreement (the “Purchase Agreement”) with certain institutional investors, pursuant to which the Company agreed to sell to such investors 8,571,429 shares (the “Shares”) of common stock of the Company (the “Common Stock”) and accompanying warrants (the “Common Warrants”) to purchase up to 8,571,429 shares of Common Stock (the “Common Warrant Shares”), at a purchase price of $1.05 per share of Common Stock and accompanying Common Warrant (the “Offering”). The shares of Common Stock, the Insider Shares (as defined below), Common Warrants and Common Warrant Shares were offered by the Company pursuant to its shelf registration statement on Form S-3 (File No. 333-285327), which was declared effective by the Securities and Exchange Commission on May 13,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entered into the Purchase Agreement with certain of its officers and directors (the “Insiders”), pursuant to which the Company agreed to sell to such Insiders 721,649 shares of Common Stock (the “Insider Shares”) and 721,649 accompanying Common Warrants, at a purchase price of $1.455 per Insider Share and accompanying Common Warrant.</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Warrants have an exercise price of $1.31 per share ($1.33 for Insiders), will be exercisable beginning on the later of (i) six months after issuance and (ii) Authorized Share Increase Date (as defined below) (the “Initial Exercise Date”) and will have a term of exercise equal to five and one-half years after the Initial Exercise Date. "Authorized Share Increase Date" means the date on which an amendment to our certificate of incorporation increasing the number of authorized shares of our common stock to an amount sufficient for the exercise in full of the Common Warrants is filed with and accepted by the State of Delaware, subject to approval of such amendment by our stockholders. We have agreed to file a proxy statement on or prior to the date that is forty-five (45) days following the closing of this offering for the purpose of obtaining such stockholder approval, and if we do not obtain such approval at the first meeting, to call a meeting every sixty (60) days thereafter until such approval is obtained or the Common Warrants are no longer outstanding. </w:t>
      </w:r>
    </w:p>
    <w:p>
      <w:pPr>
        <w:pStyle w:val="TextBody"/>
        <w:bidi w:val="0"/>
        <w:jc w:val="both"/>
        <w:rPr>
          <w:rFonts w:ascii="Times New Roman" w:hAnsi="Times New Roman"/>
          <w:color w:val="000000"/>
          <w:sz w:val="20"/>
        </w:rPr>
      </w:pPr>
      <w:r>
        <w:rPr>
          <w:rFonts w:ascii="Times New Roman" w:hAnsi="Times New Roman"/>
          <w:color w:val="000000"/>
          <w:sz w:val="20"/>
        </w:rPr>
        <w:t>The closing of the sales of these securities under the Purchase Agreement took place on July 16, 2026.</w:t>
      </w:r>
    </w:p>
    <w:p>
      <w:pPr>
        <w:pStyle w:val="TextBody"/>
        <w:bidi w:val="0"/>
        <w:jc w:val="both"/>
        <w:rPr>
          <w:rFonts w:ascii="Times New Roman" w:hAnsi="Times New Roman"/>
          <w:color w:val="000000"/>
          <w:sz w:val="20"/>
        </w:rPr>
      </w:pPr>
      <w:r>
        <w:rPr>
          <w:rFonts w:ascii="Times New Roman" w:hAnsi="Times New Roman"/>
          <w:color w:val="000000"/>
          <w:sz w:val="20"/>
        </w:rPr>
        <w:t xml:space="preserve">The gross proceeds from the offering were approximately $10.05 million, prior to deducting placement agent’s fees and other offering expenses payable by the Company. The Company intends to use the net proceeds from the offering for working capital and other general corporate purposes. </w:t>
      </w:r>
    </w:p>
    <w:p>
      <w:pPr>
        <w:pStyle w:val="TextBody"/>
        <w:bidi w:val="0"/>
        <w:jc w:val="both"/>
        <w:rPr>
          <w:rFonts w:ascii="Times New Roman" w:hAnsi="Times New Roman"/>
          <w:color w:val="000000"/>
          <w:sz w:val="20"/>
        </w:rPr>
      </w:pPr>
      <w:r>
        <w:rPr>
          <w:rFonts w:ascii="Times New Roman" w:hAnsi="Times New Roman"/>
          <w:color w:val="000000"/>
          <w:sz w:val="20"/>
        </w:rPr>
        <w:t>The representations, warranties and covenants contained in the Purchase Agreement were made solely for the benefit of the parties to the Purchase Agreement. In addition, such representations, warranties and covenants (i) are intended as a way of allocating the risk between the parties to the Purchase Agreement and not as statements of fact, and (ii) may apply standards of materiality in a way that is different from what may be viewed as material by stockholders of, or other investors in, the Company. Accordingly, the Purchase Agreement is included with this filing only to provide investors with information regarding the terms of the transaction, and not to provide investors with any other factual information regarding the Company. Moreover, information concerning the subject matter of the representations and warranties may change after the date of the Purchase Agreement, which subsequent information may or may not be fully reflected in public disclosures.</w:t>
      </w:r>
    </w:p>
    <w:p>
      <w:pPr>
        <w:pStyle w:val="TextBody"/>
        <w:bidi w:val="0"/>
        <w:jc w:val="both"/>
        <w:rPr>
          <w:rFonts w:ascii="Times New Roman" w:hAnsi="Times New Roman"/>
          <w:color w:val="000000"/>
          <w:sz w:val="20"/>
        </w:rPr>
      </w:pPr>
      <w:r>
        <w:rPr>
          <w:rFonts w:ascii="Times New Roman" w:hAnsi="Times New Roman"/>
          <w:color w:val="000000"/>
          <w:sz w:val="20"/>
        </w:rPr>
        <w:t>On July 1, 2026, the Company entered into an engagement agreement with H.C. Wainwright &amp; Co., LLC, as exclusive placement agent (the “Placement Agent”), pursuant to which the Placement Agent agreed to act as placement agent on a reasonable “best efforts” basis in connection with the Offering. The Company agreed to pay the Placement Agent an aggregate cash fee equal to 7.0% of the gross proceeds from the sale of securities in the Offering. The Company also agreed to issue the Placement Agent (or its designees) a warrant (the “Placement Agent Warrant”) to purchase up to 5.0% of the aggregate number of shares of Common Stock sold in the Offering, or warrants to purchase up to 465,157 shares of Common Stock, at an exercise price equal to 125.0% of the Offering price per share of Common Stock, or $1.3125 per share. The Placement Agent Warrant are exercisable immediately upon issuance for a period of five years following the commencement of the sales pursuant to the Offering, In addition, the Company agreed to pay the Placement Agent $35,000 for non-accountable expenses and $50,000 for fees and expenses of legal counsel and other out-of-pocket expenses and $15,950 for clearing fees.</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Common Warrant, Placement Agent Warrant and Purchase Agreement are not complete and are qualified in their entirety by reference to the full text of the form of Common Warrant, form of Placement Agent Warrant, and form of Purchase Agreement, copies of which are filed as Exhibits 4.1, 4.2, and 10.1, respectively, to this Current Report on Form 8-K and are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legal opinion and consent of Sheppard, Mullin, Richter &amp; Hampton LLP relating to the validity of the securities issued in the Offering is filed herewith as Exhibit 5.1.</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Item 8.01</w:t>
      </w:r>
      <w:r>
        <w:rPr>
          <w:rFonts w:ascii="Times New Roman" w:hAnsi="Times New Roman"/>
          <w:color w:val="000000"/>
          <w:sz w:val="20"/>
        </w:rPr>
        <w:t xml:space="preserve"> </w:t>
      </w:r>
      <w:r>
        <w:rPr>
          <w:rFonts w:ascii="Times New Roman" w:hAnsi="Times New Roman"/>
          <w:b/>
          <w:color w:val="000000"/>
          <w:sz w:val="20"/>
        </w:rPr>
        <w:t>Other Events.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15, 2026, the Company issued a press release announcing the pricing of the Offering. A copy of the press release is furnished as Exhibit 99.1 to this Form 8-K.</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 Exhibits. </w:t>
      </w:r>
    </w:p>
    <w:tbl>
      <w:tblPr>
        <w:tblW w:w="5477" w:type="dxa"/>
        <w:jc w:val="left"/>
        <w:tblInd w:w="0" w:type="dxa"/>
        <w:tblLayout w:type="fixed"/>
        <w:tblCellMar>
          <w:top w:w="28" w:type="dxa"/>
          <w:left w:w="28" w:type="dxa"/>
          <w:bottom w:w="28" w:type="dxa"/>
          <w:right w:w="28" w:type="dxa"/>
        </w:tblCellMar>
      </w:tblPr>
      <w:tblGrid>
        <w:gridCol w:w="481"/>
        <w:gridCol w:w="4996"/>
      </w:tblGrid>
      <w:tr>
        <w:trPr/>
        <w:tc>
          <w:tcPr>
            <w:tcW w:w="481"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crdf-ex4_1.htm">
              <w:r>
                <w:rPr>
                  <w:rStyle w:val="InternetLink"/>
                  <w:rFonts w:ascii="Times New Roman" w:hAnsi="Times New Roman"/>
                  <w:color w:val="0000FF"/>
                  <w:sz w:val="20"/>
                  <w:u w:val="single"/>
                </w:rPr>
                <w:t>Form of Common Warrant</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crdf-ex4_2.htm">
              <w:r>
                <w:rPr>
                  <w:rStyle w:val="InternetLink"/>
                  <w:rFonts w:ascii="Times New Roman" w:hAnsi="Times New Roman"/>
                  <w:color w:val="0000FF"/>
                  <w:sz w:val="20"/>
                  <w:u w:val="single"/>
                </w:rPr>
                <w:t>Form of Placement Agent Warrant</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crdf-ex5_1.htm">
              <w:r>
                <w:rPr>
                  <w:rStyle w:val="InternetLink"/>
                  <w:rFonts w:ascii="Times New Roman" w:hAnsi="Times New Roman"/>
                  <w:color w:val="0000FF"/>
                  <w:sz w:val="20"/>
                  <w:u w:val="single"/>
                </w:rPr>
                <w:t>Opinion of Sheppard, Mullin, Richter &amp; Hampton LLP</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crdf-ex10_1.htm">
              <w:r>
                <w:rPr>
                  <w:rStyle w:val="InternetLink"/>
                  <w:rFonts w:ascii="Times New Roman" w:hAnsi="Times New Roman"/>
                  <w:color w:val="0000FF"/>
                  <w:sz w:val="20"/>
                  <w:u w:val="single"/>
                </w:rPr>
                <w:t>Form of Securities Purchase Agreement</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996" w:type="dxa"/>
            <w:tcBorders/>
            <w:tcMar>
              <w:top w:w="0" w:type="dxa"/>
              <w:left w:w="0" w:type="dxa"/>
              <w:bottom w:w="0" w:type="dxa"/>
              <w:right w:w="0" w:type="dxa"/>
            </w:tcMar>
            <w:vAlign w:val="center"/>
          </w:tcPr>
          <w:p>
            <w:pPr>
              <w:pStyle w:val="TableContents"/>
              <w:bidi w:val="0"/>
              <w:spacing w:before="0" w:after="283"/>
              <w:jc w:val="left"/>
              <w:rPr/>
            </w:pPr>
            <w:hyperlink w:anchor="crdf-ex99_1.htm">
              <w:r>
                <w:rPr>
                  <w:rStyle w:val="InternetLink"/>
                  <w:rFonts w:ascii="Times New Roman" w:hAnsi="Times New Roman"/>
                  <w:color w:val="0000FF"/>
                  <w:sz w:val="20"/>
                  <w:u w:val="single"/>
                </w:rPr>
                <w:t>Press Release of Cardiff Oncology, Inc. dated July 15, 2026.</w:t>
              </w:r>
            </w:hyperlink>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59" w:type="dxa"/>
        <w:jc w:val="left"/>
        <w:tblInd w:w="0" w:type="dxa"/>
        <w:tblLayout w:type="fixed"/>
        <w:tblCellMar>
          <w:top w:w="28" w:type="dxa"/>
          <w:left w:w="28" w:type="dxa"/>
          <w:bottom w:w="28" w:type="dxa"/>
          <w:right w:w="28" w:type="dxa"/>
        </w:tblCellMar>
      </w:tblPr>
      <w:tblGrid>
        <w:gridCol w:w="556"/>
        <w:gridCol w:w="1216"/>
        <w:gridCol w:w="451"/>
        <w:gridCol w:w="253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CARDIFF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Mani Mohindru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Mani Mohindru</w:t>
              <w:br/>
              <w:br/>
              <w:t>Chief Executive Officer</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crdf-ex4_1.htm"/>
      <w:bookmarkStart w:id="3" w:name="kscrdfex4_1"/>
      <w:bookmarkEnd w:id="2"/>
      <w:bookmarkEnd w:id="3"/>
      <w:r>
        <w:rPr/>
        <w:t> </w:t>
      </w:r>
      <w:r>
        <w:br w:type="page"/>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EXHIBIT A-1 </w:t>
      </w:r>
    </w:p>
    <w:p>
      <w:pPr>
        <w:pStyle w:val="TextBody"/>
        <w:bidi w:val="0"/>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Cardiff Oncology, Inc.</w:t>
      </w:r>
    </w:p>
    <w:p>
      <w:pPr>
        <w:pStyle w:val="TextBody"/>
        <w:bidi w:val="0"/>
        <w:jc w:val="left"/>
        <w:rPr>
          <w:rFonts w:ascii="Times New Roman" w:hAnsi="Times New Roman"/>
          <w:color w:val="000000"/>
          <w:sz w:val="24"/>
        </w:rPr>
      </w:pPr>
      <w:r>
        <w:rPr>
          <w:rFonts w:ascii="Times New Roman" w:hAnsi="Times New Roman"/>
          <w:color w:val="000000"/>
          <w:sz w:val="24"/>
        </w:rPr>
        <w:t>Warrant Shares: _______ Issue Date: _______, 2026</w:t>
      </w:r>
    </w:p>
    <w:p>
      <w:pPr>
        <w:pStyle w:val="TextBody"/>
        <w:bidi w:val="0"/>
        <w:spacing w:before="0" w:after="24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_____________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later of (i) January ___, 2027 and (ii) the Authorized Share Increase Date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5:00 p.m. (New York City time) on the date that is the five and one-half (5.5) year anniversary of the Initial Exercise Date, provided that, if such date is not a Trading Day, then the date that is the immediately following Trading Day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Cardiff Oncology,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______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The purchase price of one share of Common Stock under this Warrant shall be equal to the Exercise Price, as defined in Section 2(b).</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and not otherwise defined herein shall have the meanings set forth in that certain Securities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dated July 14, 2026, among the Company and the purchasers signatory thereto.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w:t>
      </w:r>
    </w:p>
    <w:p>
      <w:pPr>
        <w:pStyle w:val="TextBody"/>
        <w:bidi w:val="0"/>
        <w:jc w:val="both"/>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per share of Common Stock under this Warrant shall be </w:t>
      </w:r>
      <w:r>
        <w:rPr>
          <w:rFonts w:ascii="Times New Roman" w:hAnsi="Times New Roman"/>
          <w:b/>
          <w:color w:val="000000"/>
          <w:sz w:val="24"/>
        </w:rPr>
        <w:t>$</w:t>
      </w:r>
      <w:r>
        <w:rPr>
          <w:rFonts w:ascii="Times New Roman" w:hAnsi="Times New Roman"/>
          <w:color w:val="000000"/>
          <w:sz w:val="24"/>
        </w:rPr>
        <w:t>1.31,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Warrant Shares are issued in such a cashless exercise, the parties acknowledge and agree that in accordance with Section 3(a)(9) of the Securities Act, the Warrant Shares</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shall take on the registered characteristics of the Warrants being exercised. The Company agrees not to take any position contrary to this Section 2(c).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w:t>
      </w:r>
      <w:r>
        <w:rPr>
          <w:rFonts w:ascii="Times New Roman" w:hAnsi="Times New Roman"/>
          <w:color w:val="000000"/>
          <w:sz w:val="24"/>
          <w:u w:val="single"/>
        </w:rPr>
        <w:t>OTCQB</w:t>
      </w:r>
      <w:r>
        <w:rPr>
          <w:rFonts w:ascii="Times New Roman" w:hAnsi="Times New Roman"/>
          <w:color w:val="000000"/>
          <w:sz w:val="20"/>
        </w:rPr>
        <w:t>”</w:t>
      </w:r>
      <w:r>
        <w:rPr>
          <w:rFonts w:ascii="Times New Roman" w:hAnsi="Times New Roman"/>
          <w:color w:val="000000"/>
          <w:sz w:val="24"/>
        </w:rPr>
        <w:t>) or the OTCQX Best Market (“</w:t>
      </w:r>
      <w:r>
        <w:rPr>
          <w:rFonts w:ascii="Times New Roman" w:hAnsi="Times New Roman"/>
          <w:color w:val="000000"/>
          <w:sz w:val="24"/>
          <w:u w:val="single"/>
        </w:rPr>
        <w:t>OTCQX</w:t>
      </w:r>
      <w:r>
        <w:rPr>
          <w:rFonts w:ascii="Times New Roman" w:hAnsi="Times New Roman"/>
          <w:color w:val="000000"/>
          <w:sz w:val="20"/>
        </w:rPr>
        <w:t>”</w:t>
      </w:r>
      <w:r>
        <w:rPr>
          <w:rFonts w:ascii="Times New Roman" w:hAnsi="Times New Roman"/>
          <w:color w:val="000000"/>
          <w:sz w:val="24"/>
        </w:rPr>
        <w:t>),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w:t>
      </w:r>
      <w:r>
        <w:rPr>
          <w:rFonts w:ascii="Times New Roman" w:hAnsi="Times New Roman"/>
          <w:color w:val="000000"/>
          <w:sz w:val="24"/>
          <w:u w:val="single"/>
        </w:rPr>
        <w:t>Pink Market</w:t>
      </w:r>
      <w:r>
        <w:rPr>
          <w:rFonts w:ascii="Times New Roman" w:hAnsi="Times New Roman"/>
          <w:color w:val="000000"/>
          <w:sz w:val="20"/>
        </w:rPr>
        <w:t>”</w:t>
      </w:r>
      <w:r>
        <w:rPr>
          <w:rFonts w:ascii="Times New Roman" w:hAnsi="Times New Roman"/>
          <w:color w:val="000000"/>
          <w:sz w:val="24"/>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on the Termination Date, this Warrant shall be automatically exercised via cashless exercise pursuant to this Section 2(c).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xml:space="preserve">. The Company shall cause the Warrant Shares purchased hereunder to be transmitted by </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hAnsi="Times New Roman"/>
          <w:color w:val="000000"/>
          <w:sz w:val="16"/>
        </w:rPr>
        <w:t>rd</w:t>
      </w:r>
      <w:r>
        <w:rPr>
          <w:rFonts w:ascii="Times New Roman" w:hAnsi="Times New Roman"/>
          <w:color w:val="000000"/>
          <w:sz w:val="24"/>
        </w:rPr>
        <w:t>)Trading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w:t>
      </w:r>
      <w:r>
        <w:rPr>
          <w:color w:val="00000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Date for purposes hereunder, provided that payment of the aggregate Exercise Price (other than in the case of a cashless exercise) is received by such Warrant Share Delivery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for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hAnsi="Times New Roman"/>
          <w:color w:val="000000"/>
          <w:sz w:val="24"/>
          <w:u w:val="single"/>
        </w:rPr>
        <w:t>Attribution Parties</w:t>
      </w:r>
      <w:r>
        <w:rPr>
          <w:rFonts w:ascii="Times New Roman" w:hAnsi="Times New Roman"/>
          <w:color w:val="000000"/>
          <w:sz w:val="20"/>
        </w:rPr>
        <w:t>”</w:t>
      </w:r>
      <w:r>
        <w:rPr>
          <w:rFonts w:ascii="Times New Roman" w:hAnsi="Times New Roman"/>
          <w:color w:val="000000"/>
          <w:sz w:val="24"/>
        </w:rPr>
        <w:t>)), would beneficially own in excess of the Beneficial Ownership Limitation (as defined below). For purposes of the foregoing sentence, the number of shares of Common Stock beneficially owned by the Holder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4"/>
          <w:u w:val="single"/>
        </w:rPr>
        <w:t>Beneficial Ownership Limitation</w:t>
      </w:r>
      <w:r>
        <w:rPr>
          <w:rFonts w:ascii="Times New Roman" w:hAnsi="Times New Roman"/>
          <w:color w:val="000000"/>
          <w:sz w:val="20"/>
        </w:rPr>
        <w:t xml:space="preserve">” </w:t>
      </w:r>
      <w:r>
        <w:rPr>
          <w:rFonts w:ascii="Times New Roman" w:hAnsi="Times New Roman"/>
          <w:color w:val="000000"/>
          <w:sz w:val="24"/>
        </w:rPr>
        <w:t>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xml:space="preserve">), at any time after the issuance of this Warrant, then, in each such case, the Holder shall be entitled to participate in such Distribution to the same extent that the Holder would have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4" w:name="ole_link5"/>
      <w:bookmarkEnd w:id="4"/>
      <w:r>
        <w:rPr>
          <w:rFonts w:ascii="Times New Roman" w:hAnsi="Times New Roman"/>
          <w:color w:val="000000"/>
          <w:sz w:val="24"/>
        </w:rPr>
        <w:t>,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w:rPr>
          <w:color w:val="000000"/>
        </w:rPr>
        <w:t xml:space="preserve"> </w:t>
      </w:r>
      <w:r>
        <w:rPr>
          <w:rFonts w:ascii="Times New Roman" w:hAnsi="Times New Roman"/>
          <w:color w:val="000000"/>
          <w:sz w:val="24"/>
        </w:rPr>
        <w:t xml:space="preserve">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olor w:val="000000"/>
          <w:sz w:val="24"/>
          <w:u w:val="single"/>
        </w:rPr>
        <w:t>Black Scholes Value</w:t>
      </w:r>
      <w:r>
        <w:rPr>
          <w:color w:val="000000"/>
        </w:rPr>
        <w:t xml:space="preserve">” </w:t>
      </w:r>
      <w:r>
        <w:rPr>
          <w:rFonts w:ascii="Times New Roman" w:hAnsi="Times New Roman"/>
          <w:color w:val="000000"/>
          <w:sz w:val="24"/>
        </w:rPr>
        <w:t>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w:t>
      </w:r>
      <w:r>
        <w:rPr>
          <w:color w:val="000000"/>
        </w:rPr>
        <w:t xml:space="preserve"> </w:t>
      </w: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w:t>
      </w:r>
      <w:r>
        <w:rPr>
          <w:color w:val="00000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been paid based on the adjusted Exercise Price, the Company shall promptly return any excess aggregate Exercise Price to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beginning six (6) months after the Issue Date reduce the then current Exercise Price to any amount and for any period of time deemed appropriate by the board of directors of the Company.</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w:t>
      </w:r>
      <w:r>
        <w:rPr>
          <w:color w:val="0000FF"/>
        </w:rPr>
        <w:t xml:space="preserve"> </w:t>
      </w:r>
      <w:r>
        <w:rPr>
          <w:rFonts w:ascii="Times New Roman" w:hAnsi="Times New Roman"/>
          <w:color w:val="000000"/>
          <w:sz w:val="24"/>
        </w:rPr>
        <w:t xml:space="preserve">The Warrant, if properly assigned in accordance herewith, may be exercised by a new holder for the purchase of Warrant Shares without having a new Warrant issued.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Jurisdiction</w:t>
      </w:r>
      <w:r>
        <w:rPr>
          <w:rFonts w:ascii="Times New Roman" w:hAnsi="Times New Roman"/>
          <w:color w:val="000000"/>
          <w:sz w:val="24"/>
        </w:rPr>
        <w:t>. All questions concerning the construction, validity, enforcement and interpretation of this Warrant shall be determined in accordance with the provisions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the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jc w:val="both"/>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 Follows)</w:t>
      </w:r>
    </w:p>
    <w:p>
      <w:pPr>
        <w:pStyle w:val="TextBody"/>
        <w:bidi w:val="0"/>
        <w:jc w:val="both"/>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Cardiff Oncology, Inc.</w:t>
            </w:r>
          </w:p>
          <w:p>
            <w:pPr>
              <w:pStyle w:val="TableContents"/>
              <w:bidi w:val="0"/>
              <w:jc w:val="left"/>
              <w:rPr/>
            </w:pPr>
            <w:r>
              <w:rPr/>
              <w:t> </w:t>
            </w:r>
          </w:p>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To: Cardiff Oncology,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both"/>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left"/>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8462" w:type="dxa"/>
        <w:jc w:val="left"/>
        <w:tblInd w:w="0" w:type="dxa"/>
        <w:tblLayout w:type="fixed"/>
        <w:tblCellMar>
          <w:top w:w="28" w:type="dxa"/>
          <w:left w:w="28" w:type="dxa"/>
          <w:bottom w:w="28" w:type="dxa"/>
          <w:right w:w="28" w:type="dxa"/>
        </w:tblCellMar>
      </w:tblPr>
      <w:tblGrid>
        <w:gridCol w:w="3751"/>
        <w:gridCol w:w="4711"/>
      </w:tblGrid>
      <w:tr>
        <w:trPr/>
        <w:tc>
          <w:tcPr>
            <w:tcW w:w="375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crdf-ex4_2.htm"/>
      <w:bookmarkStart w:id="6" w:name="kscrdfex4_2"/>
      <w:bookmarkEnd w:id="5"/>
      <w:bookmarkEnd w:id="6"/>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PLACEMENT AGENT COMMON STOCK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Cardiff Oncology, Inc.</w:t>
      </w:r>
    </w:p>
    <w:p>
      <w:pPr>
        <w:pStyle w:val="TextBody"/>
        <w:bidi w:val="0"/>
        <w:jc w:val="left"/>
        <w:rPr>
          <w:rFonts w:ascii="Times New Roman" w:hAnsi="Times New Roman"/>
          <w:color w:val="000000"/>
          <w:sz w:val="24"/>
        </w:rPr>
      </w:pPr>
      <w:r>
        <w:rPr>
          <w:rFonts w:ascii="Times New Roman" w:hAnsi="Times New Roman"/>
          <w:color w:val="000000"/>
          <w:sz w:val="24"/>
        </w:rPr>
        <w:t>Warrant Shares: _______ Issue Date: July 16, 2026</w:t>
      </w:r>
    </w:p>
    <w:p>
      <w:pPr>
        <w:pStyle w:val="TextBody"/>
        <w:bidi w:val="0"/>
        <w:spacing w:before="0" w:after="240"/>
        <w:jc w:val="both"/>
        <w:rPr>
          <w:rFonts w:ascii="Times New Roman" w:hAnsi="Times New Roman"/>
          <w:sz w:val="20"/>
        </w:rPr>
      </w:pPr>
      <w:r>
        <w:rPr>
          <w:rFonts w:ascii="Times New Roman" w:hAnsi="Times New Roman"/>
          <w:color w:val="000000"/>
          <w:sz w:val="24"/>
        </w:rPr>
        <w:t>THIS PLACEMENT AGENT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_____________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later of (i) January 19, 2027 and (ii) the Authorized Share Increase Date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5:00 p.m. (New York City time) on July 14, 2031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Cardiff Oncology,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______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The purchase price of one share of Common Stock under this Warrant shall be equal to the Exercise Price, as defined in Section 2(b). This Warrant is issued pursuant to that certain Engagement Agreement, by and between the Company and H.C. Wainwright &amp; Co., LLC, dated as of July 1, 2026</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and not otherwise defined herein shall have the meanings set forth in that certain Securities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dated July 14, 2026, among the Company and the purchasers signatory thereto.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w:t>
      </w:r>
    </w:p>
    <w:p>
      <w:pPr>
        <w:pStyle w:val="TextBody"/>
        <w:bidi w:val="0"/>
        <w:jc w:val="both"/>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purchased and the date of such purchases. The Company shall deliver any objection to any Notice of Exercise on the Trading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per share of Common Stock under this Warrant shall be </w:t>
      </w:r>
      <w:r>
        <w:rPr>
          <w:rFonts w:ascii="Times New Roman" w:hAnsi="Times New Roman"/>
          <w:b/>
          <w:color w:val="000000"/>
          <w:sz w:val="24"/>
        </w:rPr>
        <w:t>$</w:t>
      </w:r>
      <w:r>
        <w:rPr>
          <w:rFonts w:ascii="Times New Roman" w:hAnsi="Times New Roman"/>
          <w:color w:val="000000"/>
          <w:sz w:val="24"/>
        </w:rPr>
        <w:t>1.3125,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w:t>
      </w:r>
      <w:r>
        <w:rPr>
          <w:rFonts w:ascii="Times New Roman" w:hAnsi="Times New Roman"/>
          <w:color w:val="000000"/>
          <w:sz w:val="24"/>
          <w:u w:val="single"/>
        </w:rPr>
        <w:t>OTCQB</w:t>
      </w:r>
      <w:r>
        <w:rPr>
          <w:rFonts w:ascii="Times New Roman" w:hAnsi="Times New Roman"/>
          <w:color w:val="000000"/>
          <w:sz w:val="20"/>
        </w:rPr>
        <w:t>”</w:t>
      </w:r>
      <w:r>
        <w:rPr>
          <w:rFonts w:ascii="Times New Roman" w:hAnsi="Times New Roman"/>
          <w:color w:val="000000"/>
          <w:sz w:val="24"/>
        </w:rPr>
        <w:t>) or the OTCQX Best Market (“</w:t>
      </w:r>
      <w:r>
        <w:rPr>
          <w:rFonts w:ascii="Times New Roman" w:hAnsi="Times New Roman"/>
          <w:color w:val="000000"/>
          <w:sz w:val="24"/>
          <w:u w:val="single"/>
        </w:rPr>
        <w:t>OTCQX</w:t>
      </w:r>
      <w:r>
        <w:rPr>
          <w:rFonts w:ascii="Times New Roman" w:hAnsi="Times New Roman"/>
          <w:color w:val="000000"/>
          <w:sz w:val="20"/>
        </w:rPr>
        <w:t>”</w:t>
      </w:r>
      <w:r>
        <w:rPr>
          <w:rFonts w:ascii="Times New Roman" w:hAnsi="Times New Roman"/>
          <w:color w:val="000000"/>
          <w:sz w:val="24"/>
        </w:rPr>
        <w:t>),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w:t>
      </w:r>
      <w:r>
        <w:rPr>
          <w:rFonts w:ascii="Times New Roman" w:hAnsi="Times New Roman"/>
          <w:color w:val="000000"/>
          <w:sz w:val="24"/>
          <w:u w:val="single"/>
        </w:rPr>
        <w:t>Pink Market</w:t>
      </w:r>
      <w:r>
        <w:rPr>
          <w:rFonts w:ascii="Times New Roman" w:hAnsi="Times New Roman"/>
          <w:color w:val="000000"/>
          <w:sz w:val="20"/>
        </w:rPr>
        <w:t>”</w:t>
      </w:r>
      <w:r>
        <w:rPr>
          <w:rFonts w:ascii="Times New Roman" w:hAnsi="Times New Roman"/>
          <w:color w:val="000000"/>
          <w:sz w:val="24"/>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on the Termination Date, this Warrant shall be automatically exercised via cashless exercise pursuant to this Section 2(c).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xml:space="preserve">) if the </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hAnsi="Times New Roman"/>
          <w:color w:val="000000"/>
          <w:sz w:val="16"/>
        </w:rPr>
        <w:t>rd</w:t>
      </w:r>
      <w:r>
        <w:rPr>
          <w:rFonts w:ascii="Times New Roman" w:hAnsi="Times New Roman"/>
          <w:color w:val="000000"/>
          <w:sz w:val="24"/>
        </w:rPr>
        <w:t>)Trading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r>
        <w:rPr>
          <w:color w:val="00000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for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hAnsi="Times New Roman"/>
          <w:color w:val="000000"/>
          <w:sz w:val="24"/>
          <w:u w:val="single"/>
        </w:rPr>
        <w:t>Attribution Parties</w:t>
      </w:r>
      <w:r>
        <w:rPr>
          <w:rFonts w:ascii="Times New Roman" w:hAnsi="Times New Roman"/>
          <w:color w:val="000000"/>
          <w:sz w:val="20"/>
        </w:rPr>
        <w:t>”</w:t>
      </w:r>
      <w:r>
        <w:rPr>
          <w:rFonts w:ascii="Times New Roman" w:hAnsi="Times New Roman"/>
          <w:color w:val="000000"/>
          <w:sz w:val="24"/>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4"/>
          <w:u w:val="single"/>
        </w:rPr>
        <w:t>Beneficial Ownership Limitation</w:t>
      </w:r>
      <w:r>
        <w:rPr>
          <w:rFonts w:ascii="Times New Roman" w:hAnsi="Times New Roman"/>
          <w:color w:val="000000"/>
          <w:sz w:val="20"/>
        </w:rPr>
        <w:t xml:space="preserve">” </w:t>
      </w:r>
      <w:r>
        <w:rPr>
          <w:rFonts w:ascii="Times New Roman" w:hAnsi="Times New Roman"/>
          <w:color w:val="000000"/>
          <w:sz w:val="24"/>
        </w:rPr>
        <w:t>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xml:space="preserve">. If the Company, at any time while this Warrant is outstanding: (i) pays a stock dividend or otherwise makes a distribution or distributions on shares of its Common Stock or any other equity or equity equivalent securities payable </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7" w:name="ole_link6"/>
      <w:bookmarkEnd w:id="7"/>
      <w:r>
        <w:rPr>
          <w:rFonts w:ascii="Times New Roman" w:hAnsi="Times New Roman"/>
          <w:color w:val="000000"/>
          <w:sz w:val="24"/>
        </w:rPr>
        <w:t>,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Transaction, then the Holder shall be given the same choice as to the Alternate Consideration it receives upon any exercise of this Warrant following such Fundamental Transaction.</w:t>
      </w:r>
      <w:r>
        <w:rPr>
          <w:color w:val="000000"/>
        </w:rPr>
        <w:t xml:space="preserve"> </w:t>
      </w:r>
      <w:r>
        <w:rPr>
          <w:rFonts w:ascii="Times New Roman" w:hAnsi="Times New Roman"/>
          <w:color w:val="000000"/>
          <w:sz w:val="24"/>
        </w:rPr>
        <w:t xml:space="preserve">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olor w:val="000000"/>
          <w:sz w:val="24"/>
          <w:u w:val="single"/>
        </w:rPr>
        <w:t>Black Scholes Value</w:t>
      </w:r>
      <w:r>
        <w:rPr>
          <w:color w:val="000000"/>
        </w:rPr>
        <w:t xml:space="preserve">” </w:t>
      </w:r>
      <w:r>
        <w:rPr>
          <w:rFonts w:ascii="Times New Roman" w:hAnsi="Times New Roman"/>
          <w:color w:val="000000"/>
          <w:sz w:val="24"/>
        </w:rPr>
        <w:t>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w:t>
      </w:r>
      <w:r>
        <w:rPr>
          <w:color w:val="000000"/>
        </w:rPr>
        <w:t xml:space="preserve"> </w:t>
      </w: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w:t>
      </w:r>
      <w:r>
        <w:rPr>
          <w:color w:val="00000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beginning six (6) months after the Issue Date reduce the then current Exercise Price to any amount and for any period of time deemed appropriate by the board of directors of the Company.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w:t>
      </w:r>
      <w:r>
        <w:rPr>
          <w:color w:val="0000FF"/>
        </w:rPr>
        <w:t xml:space="preserve"> </w:t>
      </w:r>
      <w:r>
        <w:rPr>
          <w:rFonts w:ascii="Times New Roman" w:hAnsi="Times New Roman"/>
          <w:color w:val="000000"/>
          <w:sz w:val="24"/>
        </w:rPr>
        <w:t xml:space="preserve">The Warrant, if properly assigned in accordance herewith, may be exercised by a new holder for the purchase of Warrant Shares without having a new Warrant issued.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act as the warrant agent to the Holder.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for the benefit of the Holder. The Company may deem and treat the registered Holder of this Warrant as the absolute owner hereof for the purpose of any exercise hereof or any distribution to the Holder, and for all other purposes, absent actual notice to the contrary. The Holder shall have the right to request at any time the issuance of an ink-original warrant evidencing the ownership of this Warrant to such Holder, which shall be dated the Issue Date and delivered to the address specified by the Holder within one (1) Trading Day upon request.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pursuant to Section 2(d)(i) and Section 2(d)(iv) herein, in no event shall the Company be required to net cash settle an exercise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Jurisdiction</w:t>
      </w:r>
      <w:r>
        <w:rPr>
          <w:rFonts w:ascii="Times New Roman" w:hAnsi="Times New Roman"/>
          <w:color w:val="000000"/>
          <w:sz w:val="24"/>
        </w:rPr>
        <w:t>. All questions concerning the construction, validity, enforcement and interpretation of this Warrant shall be determined in accordance with the provisions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the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request or other document required or permitted to be given or delivered to the Holder by the Company shall be delivered to the address of the Holder in the Warrant Register.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xml:space="preserve">. The Holder, in addition to being entitled to exercise all rights granted by law, including recovery of damages, will be entitled to specific performance of its rights under this Warrant. The Company agrees that monetary damages would not be </w:t>
      </w:r>
    </w:p>
    <w:p>
      <w:pPr>
        <w:pStyle w:val="TextBody"/>
        <w:bidi w:val="0"/>
        <w:jc w:val="both"/>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Electronic Signatures</w:t>
      </w:r>
      <w:r>
        <w:rPr>
          <w:rFonts w:ascii="Times New Roman" w:hAnsi="Times New Roman"/>
          <w:color w:val="000000"/>
          <w:sz w:val="24"/>
        </w:rPr>
        <w:t>. Electronically scanned and transmitted signatures, including by email attachment, shall be deemed originals for all purposes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 Follows)</w:t>
      </w:r>
    </w:p>
    <w:p>
      <w:pPr>
        <w:pStyle w:val="TextBody"/>
        <w:bidi w:val="0"/>
        <w:jc w:val="both"/>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Cardiff Oncology, Inc.</w:t>
            </w:r>
          </w:p>
          <w:p>
            <w:pPr>
              <w:pStyle w:val="TableContents"/>
              <w:bidi w:val="0"/>
              <w:jc w:val="left"/>
              <w:rPr/>
            </w:pPr>
            <w:r>
              <w:rPr/>
              <w:t> </w:t>
            </w:r>
          </w:p>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To: Cardiff Oncology,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both"/>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left"/>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8462" w:type="dxa"/>
        <w:jc w:val="left"/>
        <w:tblInd w:w="0" w:type="dxa"/>
        <w:tblLayout w:type="fixed"/>
        <w:tblCellMar>
          <w:top w:w="28" w:type="dxa"/>
          <w:left w:w="28" w:type="dxa"/>
          <w:bottom w:w="28" w:type="dxa"/>
          <w:right w:w="28" w:type="dxa"/>
        </w:tblCellMar>
      </w:tblPr>
      <w:tblGrid>
        <w:gridCol w:w="3751"/>
        <w:gridCol w:w="4711"/>
      </w:tblGrid>
      <w:tr>
        <w:trPr/>
        <w:tc>
          <w:tcPr>
            <w:tcW w:w="375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8" w:name="crdf-ex5_1.htm"/>
      <w:bookmarkStart w:id="9" w:name="kscrdfex5_1"/>
      <w:bookmarkEnd w:id="8"/>
      <w:bookmarkEnd w:id="9"/>
      <w:r>
        <w:rPr/>
        <w:t> </w:t>
      </w:r>
      <w:r>
        <w:br w:type="page"/>
      </w:r>
    </w:p>
    <w:p>
      <w:pPr>
        <w:pStyle w:val="TextBody"/>
        <w:bidi w:val="0"/>
        <w:jc w:val="right"/>
        <w:rPr/>
      </w:pPr>
      <w:r>
        <w:rPr/>
        <w:t> </w:t>
      </w:r>
    </w:p>
    <w:tbl>
      <w:tblPr>
        <w:tblW w:w="6207" w:type="dxa"/>
        <w:jc w:val="left"/>
        <w:tblInd w:w="0" w:type="dxa"/>
        <w:tblLayout w:type="fixed"/>
        <w:tblCellMar>
          <w:top w:w="28" w:type="dxa"/>
          <w:left w:w="28" w:type="dxa"/>
          <w:bottom w:w="28" w:type="dxa"/>
          <w:right w:w="28" w:type="dxa"/>
        </w:tblCellMar>
      </w:tblPr>
      <w:tblGrid>
        <w:gridCol w:w="2561"/>
        <w:gridCol w:w="3646"/>
      </w:tblGrid>
      <w:tr>
        <w:trPr/>
        <w:tc>
          <w:tcPr>
            <w:tcW w:w="256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25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drawing>
                <wp:inline distT="0" distB="0" distL="0" distR="0">
                  <wp:extent cx="15621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619125"/>
                          </a:xfrm>
                          <a:prstGeom prst="rect">
                            <a:avLst/>
                          </a:prstGeom>
                        </pic:spPr>
                      </pic:pic>
                    </a:graphicData>
                  </a:graphic>
                </wp:inline>
              </w:drawing>
            </w:r>
          </w:p>
        </w:tc>
        <w:tc>
          <w:tcPr>
            <w:tcW w:w="36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Sheppard, Mullin, Richter &amp; Hampton LLP</w:t>
            </w:r>
          </w:p>
          <w:p>
            <w:pPr>
              <w:pStyle w:val="TableContents"/>
              <w:bidi w:val="0"/>
              <w:jc w:val="left"/>
              <w:rPr>
                <w:rFonts w:ascii="Times New Roman" w:hAnsi="Times New Roman"/>
                <w:color w:val="000000"/>
                <w:sz w:val="20"/>
              </w:rPr>
            </w:pPr>
            <w:r>
              <w:rPr>
                <w:rFonts w:ascii="Times New Roman" w:hAnsi="Times New Roman"/>
                <w:color w:val="000000"/>
                <w:sz w:val="20"/>
              </w:rPr>
              <w:t>30 Rockefeller Plaza</w:t>
            </w:r>
          </w:p>
          <w:p>
            <w:pPr>
              <w:pStyle w:val="TableContents"/>
              <w:bidi w:val="0"/>
              <w:jc w:val="left"/>
              <w:rPr>
                <w:rFonts w:ascii="Times New Roman" w:hAnsi="Times New Roman"/>
                <w:color w:val="000000"/>
                <w:sz w:val="20"/>
              </w:rPr>
            </w:pPr>
            <w:r>
              <w:rPr>
                <w:rFonts w:ascii="Times New Roman" w:hAnsi="Times New Roman"/>
                <w:color w:val="000000"/>
                <w:sz w:val="20"/>
              </w:rPr>
              <w:t>New York, New York 10112-0015</w:t>
            </w:r>
          </w:p>
          <w:p>
            <w:pPr>
              <w:pStyle w:val="TableContents"/>
              <w:bidi w:val="0"/>
              <w:jc w:val="left"/>
              <w:rPr>
                <w:rFonts w:ascii="Times New Roman" w:hAnsi="Times New Roman"/>
                <w:color w:val="000000"/>
                <w:sz w:val="20"/>
              </w:rPr>
            </w:pPr>
            <w:r>
              <w:rPr>
                <w:rFonts w:ascii="Times New Roman" w:hAnsi="Times New Roman"/>
                <w:color w:val="000000"/>
                <w:sz w:val="20"/>
              </w:rPr>
              <w:t>212.653.8700 main</w:t>
            </w:r>
          </w:p>
          <w:p>
            <w:pPr>
              <w:pStyle w:val="TableContents"/>
              <w:bidi w:val="0"/>
              <w:jc w:val="left"/>
              <w:rPr>
                <w:rFonts w:ascii="Times New Roman" w:hAnsi="Times New Roman"/>
                <w:color w:val="000000"/>
                <w:sz w:val="20"/>
              </w:rPr>
            </w:pPr>
            <w:r>
              <w:rPr>
                <w:rFonts w:ascii="Times New Roman" w:hAnsi="Times New Roman"/>
                <w:color w:val="000000"/>
                <w:sz w:val="20"/>
              </w:rPr>
              <w:t>212.653.8701 fax</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www.sheppardmullin.com</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July 14, 2026</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VIA EDGAR</w:t>
      </w:r>
    </w:p>
    <w:p>
      <w:pPr>
        <w:pStyle w:val="TextBody"/>
        <w:bidi w:val="0"/>
        <w:jc w:val="both"/>
        <w:rPr>
          <w:rFonts w:ascii="Times New Roman" w:hAnsi="Times New Roman"/>
          <w:color w:val="000000"/>
          <w:sz w:val="20"/>
        </w:rPr>
      </w:pPr>
      <w:r>
        <w:rPr>
          <w:rFonts w:ascii="Times New Roman" w:hAnsi="Times New Roman"/>
          <w:color w:val="000000"/>
          <w:sz w:val="20"/>
        </w:rPr>
        <w:t>Cardiff Oncology, Inc.</w:t>
      </w:r>
    </w:p>
    <w:p>
      <w:pPr>
        <w:pStyle w:val="TextBody"/>
        <w:bidi w:val="0"/>
        <w:jc w:val="both"/>
        <w:rPr>
          <w:rFonts w:ascii="Times New Roman" w:hAnsi="Times New Roman"/>
          <w:color w:val="000000"/>
          <w:sz w:val="20"/>
        </w:rPr>
      </w:pPr>
      <w:r>
        <w:rPr>
          <w:rFonts w:ascii="Times New Roman" w:hAnsi="Times New Roman"/>
          <w:color w:val="000000"/>
          <w:sz w:val="20"/>
        </w:rPr>
        <w:t>11055 Flintkote Avenue</w:t>
      </w:r>
    </w:p>
    <w:p>
      <w:pPr>
        <w:pStyle w:val="TextBody"/>
        <w:bidi w:val="0"/>
        <w:jc w:val="both"/>
        <w:rPr>
          <w:rFonts w:ascii="Times New Roman" w:hAnsi="Times New Roman"/>
          <w:color w:val="000000"/>
          <w:sz w:val="20"/>
        </w:rPr>
      </w:pPr>
      <w:r>
        <w:rPr>
          <w:rFonts w:ascii="Times New Roman" w:hAnsi="Times New Roman"/>
          <w:color w:val="000000"/>
          <w:sz w:val="20"/>
        </w:rPr>
        <w:t>San Diego, CA 92121</w:t>
      </w:r>
    </w:p>
    <w:p>
      <w:pPr>
        <w:pStyle w:val="TextBody"/>
        <w:bidi w:val="0"/>
        <w:jc w:val="both"/>
        <w:rPr/>
      </w:pPr>
      <w:r>
        <w:rPr/>
        <w:t> </w:t>
      </w:r>
    </w:p>
    <w:tbl>
      <w:tblPr>
        <w:tblW w:w="3598" w:type="dxa"/>
        <w:jc w:val="left"/>
        <w:tblInd w:w="0" w:type="dxa"/>
        <w:tblLayout w:type="fixed"/>
        <w:tblCellMar>
          <w:top w:w="28" w:type="dxa"/>
          <w:left w:w="28" w:type="dxa"/>
          <w:bottom w:w="28" w:type="dxa"/>
          <w:right w:w="28" w:type="dxa"/>
        </w:tblCellMar>
      </w:tblPr>
      <w:tblGrid>
        <w:gridCol w:w="161"/>
        <w:gridCol w:w="391"/>
        <w:gridCol w:w="3046"/>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t>
            </w:r>
          </w:p>
        </w:tc>
        <w:tc>
          <w:tcPr>
            <w:tcW w:w="30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Registration Statement on Form S-3</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acted as counsel to Cardiff Oncology, Inc.(the “Company”), a Delaware corporation in connection with the offering for sale of 9,303,136 shares (the “Shares”) of common stock of the Company (the “Common Stock”), accompanying warrants (the “Common Warrants”) to purchase up to 9,303,136 shares of common stock (the “Common Warrant Shares”, and together with the Shares and the Common Warrants, the “Securities”), pursuant to the Registration Statement (as defined below) and the Prospectus (as defined below). Unless defined herein, capitalized terms have the meanings given to them in that certain Securities Purchase Agreement (the "Securities Purchase Agreement"), dated July 14, 2026, by and among the Company and the purchasers identified on the signature pages thereto (the “Purchasers”), relating to the issuance and sale by the Company of the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opinion is being furnished in accordance with the requirements of Item 601(b)(5)(i) of Regulation S-K.</w:t>
      </w:r>
    </w:p>
    <w:p>
      <w:pPr>
        <w:pStyle w:val="TextBody"/>
        <w:bidi w:val="0"/>
        <w:jc w:val="both"/>
        <w:rPr>
          <w:rFonts w:ascii="Times New Roman" w:hAnsi="Times New Roman"/>
          <w:color w:val="000000"/>
          <w:sz w:val="20"/>
        </w:rPr>
      </w:pPr>
      <w:r>
        <w:rPr>
          <w:rFonts w:ascii="Times New Roman" w:hAnsi="Times New Roman"/>
          <w:color w:val="000000"/>
          <w:sz w:val="20"/>
        </w:rPr>
        <w:t>In connection with this opinion, we have reviewed and relied upon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7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Registration Statement on Form S-3 (File No. 333-285327) initially filed with the Securities and Exchange Commission (the “Commission”) on February 27, 2025 under the Securities Act of 1933, as amended (the “Securities Act”) (including any documents incorporated by reference therein, the “Registration Statement,” and the related prospectus included in such Registration Statement at the time it became effective on May 13, 2025 (including any documents incorporated by reference therein, the “Base Prospectus”));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7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final prospectus supplement, which includes the Base Prospectus, filed on July 15, 2026 pursuant to Rule 424(b) under the Securities Act, which is referred to as the “Prospectus”;</w:t>
            </w:r>
          </w:p>
        </w:tc>
      </w:tr>
    </w:tbl>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161"/>
        <w:gridCol w:w="256"/>
        <w:gridCol w:w="3001"/>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3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Securities Purchase Agreement;</w:t>
            </w:r>
          </w:p>
        </w:tc>
      </w:tr>
    </w:tbl>
    <w:p>
      <w:pPr>
        <w:pStyle w:val="TextBody"/>
        <w:bidi w:val="0"/>
        <w:jc w:val="left"/>
        <w:rPr/>
      </w:pPr>
      <w:r>
        <w:rPr/>
        <w:t> </w:t>
      </w:r>
    </w:p>
    <w:tbl>
      <w:tblPr>
        <w:tblW w:w="8623" w:type="dxa"/>
        <w:jc w:val="left"/>
        <w:tblInd w:w="0" w:type="dxa"/>
        <w:tblLayout w:type="fixed"/>
        <w:tblCellMar>
          <w:top w:w="28" w:type="dxa"/>
          <w:left w:w="28" w:type="dxa"/>
          <w:bottom w:w="28" w:type="dxa"/>
          <w:right w:w="28" w:type="dxa"/>
        </w:tblCellMar>
      </w:tblPr>
      <w:tblGrid>
        <w:gridCol w:w="161"/>
        <w:gridCol w:w="256"/>
        <w:gridCol w:w="8206"/>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Amended and Restated Certificate of Incorporation of the Company in effect on the date hereof;</w:t>
            </w:r>
          </w:p>
        </w:tc>
      </w:tr>
    </w:tbl>
    <w:p>
      <w:pPr>
        <w:pStyle w:val="TextBody"/>
        <w:bidi w:val="0"/>
        <w:jc w:val="left"/>
        <w:rPr/>
      </w:pPr>
      <w:r>
        <w:rPr/>
        <w:t> </w:t>
      </w:r>
    </w:p>
    <w:tbl>
      <w:tblPr>
        <w:tblW w:w="7003" w:type="dxa"/>
        <w:jc w:val="left"/>
        <w:tblInd w:w="0" w:type="dxa"/>
        <w:tblLayout w:type="fixed"/>
        <w:tblCellMar>
          <w:top w:w="28" w:type="dxa"/>
          <w:left w:w="28" w:type="dxa"/>
          <w:bottom w:w="28" w:type="dxa"/>
          <w:right w:w="28" w:type="dxa"/>
        </w:tblCellMar>
      </w:tblPr>
      <w:tblGrid>
        <w:gridCol w:w="161"/>
        <w:gridCol w:w="256"/>
        <w:gridCol w:w="6586"/>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Amended and Restated Bylaws of the Company in effect on the date hereof;</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7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resolutions of the Board of Directors of the Company, adopted on July 8, 2026 authorizing/ratifying the execution and delivery of the Securities Purchase Agreement, the issuance and sale of the Securities, the preparation and filing of the Prospectus, and other actions with regard thereto;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7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such other documents, records, certificates, memoranda and other instruments as we deem necessary as a basis for this opinion.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our examination, we have assumed the genuineness of all signatures, including endorsements, the legal capacity and competency of all natural persons, the authenticity of all documents submitted to us as originals, the conformity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original documents of all documents submitted to us as facsimile, electronic, certified or photocopy,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upon the foregoing and subject to the qualifications and assumptions stated herein, we are of the opinion that the Shares have been duly authorized by all requisite corporate action on the part of the Company under the Delaware General Corporation Law (the “DGCL”) and, when the Shares are delivered to and paid for by the Purchasers in accordance with the terms of the Securities Purchase Agreement and when evidence of the issuance thereof is duly recorded in the Company’s books and records, the Shares will be validly issued, fully paid and non-assessable.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filing of this opinion letter as an exhibit to the Company’s Current Report on Form 8-K being filed on the date hereof and incorporated by reference into the Registration Statement. We also hereby consent to the reference to our firm under the caption “Legal Matters” in the Prospectus. In giving this consent, we do not admit that we are within the category of persons whose consent is required under Section 7 of the Securities Act, the rules and regulations of the Commission promulgated thereunder or Item 509 of Regulation 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express no opinion as to matters governed by any laws other than the DCGL.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other matters relating to the Company, the Shares or the Common Warrants.</w:t>
      </w:r>
    </w:p>
    <w:p>
      <w:pPr>
        <w:pStyle w:val="TextBody"/>
        <w:bidi w:val="0"/>
        <w:jc w:val="both"/>
        <w:rPr/>
      </w:pPr>
      <w:r>
        <w:rPr/>
        <w:t> </w:t>
      </w:r>
    </w:p>
    <w:p>
      <w:pPr>
        <w:pStyle w:val="TextBody"/>
        <w:bidi w:val="0"/>
        <w:jc w:val="both"/>
        <w:rPr/>
      </w:pPr>
      <w:r>
        <w:rPr/>
        <w:t> </w:t>
      </w:r>
    </w:p>
    <w:tbl>
      <w:tblPr>
        <w:tblW w:w="4632" w:type="dxa"/>
        <w:jc w:val="left"/>
        <w:tblInd w:w="0" w:type="dxa"/>
        <w:tblLayout w:type="fixed"/>
        <w:tblCellMar>
          <w:top w:w="28" w:type="dxa"/>
          <w:left w:w="28" w:type="dxa"/>
          <w:bottom w:w="28" w:type="dxa"/>
          <w:right w:w="28" w:type="dxa"/>
        </w:tblCellMar>
      </w:tblPr>
      <w:tblGrid>
        <w:gridCol w:w="161"/>
        <w:gridCol w:w="4471"/>
      </w:tblGrid>
      <w:tr>
        <w:trPr/>
        <w:tc>
          <w:tcPr>
            <w:tcW w:w="16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Respectfully submitted,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Sheppard, Mullin, Richter &amp; Hampton LLP</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SHEPPARD, MULLIN, RICHTER &amp; HAMPTON LLP</w:t>
            </w:r>
          </w:p>
        </w:tc>
      </w:tr>
    </w:tbl>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0" w:name="crdf-ex10_1.htm"/>
      <w:bookmarkStart w:id="11" w:name="kscrdfex10_1"/>
      <w:bookmarkEnd w:id="10"/>
      <w:bookmarkEnd w:id="11"/>
      <w:r>
        <w:rPr/>
        <w:t> </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SECURITIES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Securities Purchase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dated as of July 14, 2026, between Cardiff Oncology,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purchaser identified on the signature pages hereto (each, including its successors and assigns, a “</w:t>
      </w:r>
      <w:r>
        <w:rPr>
          <w:rFonts w:ascii="Times New Roman" w:hAnsi="Times New Roman"/>
          <w:color w:val="000000"/>
          <w:sz w:val="24"/>
          <w:u w:val="single"/>
        </w:rPr>
        <w:t>Purchaser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Purchasers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In addition to the terms defined elsewhere in this Agreement, for all purposes of this Agreement, the following terms have the meanings set forth in this Section 1.1:</w:t>
      </w:r>
    </w:p>
    <w:p>
      <w:pPr>
        <w:pStyle w:val="Heading2"/>
        <w:bidi w:val="0"/>
        <w:spacing w:before="0" w:after="240"/>
        <w:jc w:val="both"/>
        <w:rPr/>
      </w:pPr>
      <w:r>
        <w:rPr>
          <w:color w:val="000000"/>
        </w:rPr>
        <w:t>“</w:t>
      </w:r>
      <w:r>
        <w:rPr>
          <w:rFonts w:ascii="Times New Roman" w:hAnsi="Times New Roman"/>
          <w:b w:val="false"/>
          <w:color w:val="000000"/>
          <w:sz w:val="24"/>
          <w:u w:val="single"/>
        </w:rPr>
        <w:t>Acquiring Person</w:t>
      </w:r>
      <w:r>
        <w:rPr>
          <w:rFonts w:ascii="Times New Roman" w:hAnsi="Times New Roman"/>
          <w:color w:val="000000"/>
          <w:sz w:val="20"/>
        </w:rPr>
        <w:t xml:space="preserve">” </w:t>
      </w:r>
      <w:r>
        <w:rPr>
          <w:rFonts w:ascii="Times New Roman" w:hAnsi="Times New Roman"/>
          <w:b w:val="false"/>
          <w:color w:val="000000"/>
          <w:sz w:val="24"/>
        </w:rPr>
        <w:t>shall have the meaning ascribed to such term in Section 4.5.</w:t>
      </w:r>
    </w:p>
    <w:p>
      <w:pPr>
        <w:pStyle w:val="TextBody"/>
        <w:bidi w:val="0"/>
        <w:spacing w:before="0" w:after="240"/>
        <w:jc w:val="both"/>
        <w:rPr/>
      </w:pPr>
      <w:r>
        <w:rPr>
          <w:color w:val="000000"/>
        </w:rPr>
        <w:t>“</w:t>
      </w:r>
      <w:r>
        <w:rPr>
          <w:rFonts w:ascii="Times New Roman" w:hAnsi="Times New Roman"/>
          <w:color w:val="000000"/>
          <w:sz w:val="24"/>
          <w:u w:val="single"/>
        </w:rPr>
        <w:t>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3.1(j).</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any Person that, directly or indirectly through one or more intermediaries, controls or is controlled by or is under common control with a Person as such terms are used in and construed under Rule 405 under the Securities Act.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Amendment</w:t>
      </w:r>
      <w:r>
        <w:rPr>
          <w:rFonts w:ascii="Times New Roman" w:hAnsi="Times New Roman"/>
          <w:color w:val="000000"/>
          <w:sz w:val="20"/>
        </w:rPr>
        <w:t xml:space="preserve">” </w:t>
      </w:r>
      <w:r>
        <w:rPr>
          <w:rFonts w:ascii="Times New Roman" w:hAnsi="Times New Roman"/>
          <w:color w:val="000000"/>
          <w:sz w:val="24"/>
        </w:rPr>
        <w:t>means the amendment to the Company’s certificate of incorporation that increases the number of authorized shares of Common Stock to an amount of shares of Common Stock sufficient for the exercise in full of the Common Warrants.</w:t>
      </w:r>
    </w:p>
    <w:p>
      <w:pPr>
        <w:pStyle w:val="TextBody"/>
        <w:bidi w:val="0"/>
        <w:spacing w:before="0" w:after="240"/>
        <w:jc w:val="both"/>
        <w:rPr/>
      </w:pPr>
      <w:r>
        <w:rPr>
          <w:color w:val="000000"/>
        </w:rPr>
        <w:t>“</w:t>
      </w:r>
      <w:r>
        <w:rPr>
          <w:rFonts w:ascii="Times New Roman" w:hAnsi="Times New Roman"/>
          <w:color w:val="000000"/>
          <w:sz w:val="24"/>
          <w:u w:val="single"/>
        </w:rPr>
        <w:t>Authorized Share Increase Date</w:t>
      </w:r>
      <w:r>
        <w:rPr>
          <w:rFonts w:ascii="Times New Roman" w:hAnsi="Times New Roman"/>
          <w:color w:val="000000"/>
          <w:sz w:val="20"/>
        </w:rPr>
        <w:t xml:space="preserve">” </w:t>
      </w:r>
      <w:r>
        <w:rPr>
          <w:rFonts w:ascii="Times New Roman" w:hAnsi="Times New Roman"/>
          <w:color w:val="000000"/>
          <w:sz w:val="24"/>
        </w:rPr>
        <w:t>means, subject to Authorized Share Approval, the date on which the Amendment is filed and accepted with the State of Delaware.</w:t>
      </w:r>
    </w:p>
    <w:p>
      <w:pPr>
        <w:pStyle w:val="TextBody"/>
        <w:bidi w:val="0"/>
        <w:spacing w:before="0" w:after="240"/>
        <w:jc w:val="both"/>
        <w:rPr/>
      </w:pPr>
      <w:r>
        <w:rPr>
          <w:color w:val="000000"/>
        </w:rPr>
        <w:t>“</w:t>
      </w:r>
      <w:r>
        <w:rPr>
          <w:rFonts w:ascii="Times New Roman" w:hAnsi="Times New Roman"/>
          <w:color w:val="000000"/>
          <w:sz w:val="24"/>
          <w:u w:val="single"/>
        </w:rPr>
        <w:t>Authorized Share Approval</w:t>
      </w:r>
      <w:r>
        <w:rPr>
          <w:rFonts w:ascii="Times New Roman" w:hAnsi="Times New Roman"/>
          <w:color w:val="000000"/>
          <w:sz w:val="20"/>
        </w:rPr>
        <w:t xml:space="preserve">” </w:t>
      </w:r>
      <w:r>
        <w:rPr>
          <w:rFonts w:ascii="Times New Roman" w:hAnsi="Times New Roman"/>
          <w:color w:val="000000"/>
          <w:sz w:val="24"/>
        </w:rPr>
        <w:t>means approval of the Amendment by the stockholders of the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240"/>
        <w:jc w:val="both"/>
        <w:rPr/>
      </w:pPr>
      <w:r>
        <w:rPr>
          <w:color w:val="000000"/>
        </w:rPr>
        <w:t>“</w:t>
      </w:r>
      <w:r>
        <w:rPr>
          <w:rFonts w:ascii="Times New Roman" w:hAnsi="Times New Roman"/>
          <w:color w:val="000000"/>
          <w:sz w:val="24"/>
          <w:u w:val="single"/>
        </w:rPr>
        <w:t>Closing</w:t>
      </w:r>
      <w:r>
        <w:rPr>
          <w:rFonts w:ascii="Times New Roman" w:hAnsi="Times New Roman"/>
          <w:color w:val="000000"/>
          <w:sz w:val="20"/>
        </w:rPr>
        <w:t xml:space="preserve">” </w:t>
      </w:r>
      <w:r>
        <w:rPr>
          <w:rFonts w:ascii="Times New Roman" w:hAnsi="Times New Roman"/>
          <w:color w:val="000000"/>
          <w:sz w:val="24"/>
        </w:rPr>
        <w:t>means the closing of the purchase and sale of the Securities pursuant to Section 2.1.</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hAnsi="Times New Roman"/>
          <w:color w:val="000000"/>
          <w:sz w:val="16"/>
        </w:rPr>
        <w:t>nd</w:t>
      </w:r>
      <w:r>
        <w:rPr>
          <w:rFonts w:ascii="Times New Roman" w:hAnsi="Times New Roman"/>
          <w:color w:val="000000"/>
          <w:sz w:val="24"/>
        </w:rPr>
        <w:t>) Trading Day following the date hereof if this Agreement is signed on a day that is not a Trading Day or after 4:00 p.m. (New York City time) and before midnight (New York City time) on a Trading Day).</w:t>
      </w:r>
    </w:p>
    <w:p>
      <w:pPr>
        <w:pStyle w:val="TextBody"/>
        <w:bidi w:val="0"/>
        <w:spacing w:before="0" w:after="24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the common stock of the Company, par value $0.0001 per share, and any other class of securities into which such securities may hereafter be reclassified or changed.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Common Stock Equivalents</w:t>
      </w:r>
      <w:r>
        <w:rPr>
          <w:rFonts w:ascii="Times New Roman" w:hAnsi="Times New Roman"/>
          <w:color w:val="000000"/>
          <w:sz w:val="20"/>
        </w:rPr>
        <w:t xml:space="preserve">” </w:t>
      </w:r>
      <w:r>
        <w:rPr>
          <w:rFonts w:ascii="Times New Roman" w:hAnsi="Times New Roman"/>
          <w:color w:val="000000"/>
          <w:sz w:val="24"/>
        </w:rPr>
        <w:t>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color w:val="000000"/>
          <w:sz w:val="24"/>
          <w:u w:val="single"/>
        </w:rPr>
        <w:t>Common Warrants</w:t>
      </w:r>
      <w:r>
        <w:rPr>
          <w:rFonts w:ascii="Times New Roman" w:hAnsi="Times New Roman"/>
          <w:color w:val="000000"/>
          <w:sz w:val="20"/>
        </w:rPr>
        <w:t xml:space="preserve">” </w:t>
      </w:r>
      <w:r>
        <w:rPr>
          <w:rFonts w:ascii="Times New Roman" w:hAnsi="Times New Roman"/>
          <w:color w:val="000000"/>
          <w:sz w:val="24"/>
        </w:rPr>
        <w:t>means, collectively, the Common Stock purchase warrants delivered to the Purchasers at the Closing in accordance with Section 2.2(a) hereof, which Common Warrants shall be exercisable on and after the later of (i) six (6) months after issuance and (ii) the Authorized Share Increase Date, and have a term of exercise equal to five and one-half (5.5) years after the initial exercise date, in the form of Exhibit A-1 attached hereto.</w:t>
      </w:r>
    </w:p>
    <w:p>
      <w:pPr>
        <w:pStyle w:val="TextBody"/>
        <w:bidi w:val="0"/>
        <w:spacing w:before="0" w:after="240"/>
        <w:jc w:val="both"/>
        <w:rPr/>
      </w:pPr>
      <w:r>
        <w:rPr>
          <w:color w:val="000000"/>
        </w:rPr>
        <w:t>“</w:t>
      </w:r>
      <w:r>
        <w:rPr>
          <w:rFonts w:ascii="Times New Roman" w:hAnsi="Times New Roman"/>
          <w:color w:val="000000"/>
          <w:sz w:val="24"/>
          <w:u w:val="single"/>
        </w:rPr>
        <w:t>Common Warrant Shares</w:t>
      </w:r>
      <w:r>
        <w:rPr>
          <w:rFonts w:ascii="Times New Roman" w:hAnsi="Times New Roman"/>
          <w:color w:val="000000"/>
          <w:sz w:val="20"/>
        </w:rPr>
        <w:t xml:space="preserve">” </w:t>
      </w:r>
      <w:r>
        <w:rPr>
          <w:rFonts w:ascii="Times New Roman" w:hAnsi="Times New Roman"/>
          <w:color w:val="000000"/>
          <w:sz w:val="24"/>
        </w:rPr>
        <w:t>means the shares of Common Stock issuable upon exercise of the Common Warrants.</w:t>
      </w:r>
    </w:p>
    <w:p>
      <w:pPr>
        <w:pStyle w:val="TextBody"/>
        <w:bidi w:val="0"/>
        <w:spacing w:before="0" w:after="240"/>
        <w:jc w:val="both"/>
        <w:rPr/>
      </w:pPr>
      <w:r>
        <w:rPr>
          <w:color w:val="000000"/>
        </w:rPr>
        <w:t>“</w:t>
      </w:r>
      <w:r>
        <w:rPr>
          <w:rFonts w:ascii="Times New Roman" w:hAnsi="Times New Roman"/>
          <w:color w:val="000000"/>
          <w:sz w:val="24"/>
          <w:u w:val="single"/>
        </w:rPr>
        <w:t>Company Counsel</w:t>
      </w:r>
      <w:r>
        <w:rPr>
          <w:rFonts w:ascii="Times New Roman" w:hAnsi="Times New Roman"/>
          <w:color w:val="000000"/>
          <w:sz w:val="20"/>
        </w:rPr>
        <w:t xml:space="preserve">” </w:t>
      </w:r>
      <w:r>
        <w:rPr>
          <w:rFonts w:ascii="Times New Roman" w:hAnsi="Times New Roman"/>
          <w:color w:val="000000"/>
          <w:sz w:val="24"/>
        </w:rPr>
        <w:t>means Sheppard, Mullin, Richter &amp; Hampton LLP, with offices located at 30 Rockefeller Plaza, New York, NY 10112-0015.</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Disclosure Schedules</w:t>
      </w:r>
      <w:r>
        <w:rPr>
          <w:rFonts w:ascii="Times New Roman" w:hAnsi="Times New Roman"/>
          <w:color w:val="000000"/>
          <w:sz w:val="20"/>
        </w:rPr>
        <w:t xml:space="preserve">” </w:t>
      </w:r>
      <w:r>
        <w:rPr>
          <w:rFonts w:ascii="Times New Roman" w:hAnsi="Times New Roman"/>
          <w:color w:val="000000"/>
          <w:sz w:val="24"/>
        </w:rPr>
        <w:t>means the Disclosure Schedules of the Company delivered concurrently herewith.</w:t>
      </w:r>
    </w:p>
    <w:p>
      <w:pPr>
        <w:pStyle w:val="TextBody"/>
        <w:bidi w:val="0"/>
        <w:spacing w:before="0" w:after="240"/>
        <w:jc w:val="both"/>
        <w:rPr/>
      </w:pPr>
      <w:r>
        <w:rPr>
          <w:color w:val="000000"/>
        </w:rPr>
        <w:t>“</w:t>
      </w:r>
      <w:r>
        <w:rPr>
          <w:rFonts w:ascii="Times New Roman" w:hAnsi="Times New Roman"/>
          <w:color w:val="000000"/>
          <w:sz w:val="24"/>
          <w:u w:val="single"/>
        </w:rPr>
        <w:t>Disclosure Time</w:t>
      </w:r>
      <w:r>
        <w:rPr>
          <w:rFonts w:ascii="Times New Roman" w:hAnsi="Times New Roman"/>
          <w:color w:val="000000"/>
          <w:sz w:val="20"/>
        </w:rPr>
        <w:t xml:space="preserve">” </w:t>
      </w:r>
      <w:r>
        <w:rPr>
          <w:rFonts w:ascii="Times New Roman" w:hAnsi="Times New Roman"/>
          <w:color w:val="000000"/>
          <w:sz w:val="24"/>
        </w:rPr>
        <w:t>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240"/>
        <w:jc w:val="both"/>
        <w:rPr/>
      </w:pPr>
      <w:r>
        <w:rPr>
          <w:color w:val="000000"/>
        </w:rPr>
        <w:t>“</w:t>
      </w:r>
      <w:r>
        <w:rPr>
          <w:rFonts w:ascii="Times New Roman" w:hAnsi="Times New Roman"/>
          <w:color w:val="000000"/>
          <w:sz w:val="24"/>
          <w:u w:val="single"/>
        </w:rPr>
        <w:t>EGS</w:t>
      </w:r>
      <w:r>
        <w:rPr>
          <w:rFonts w:ascii="Times New Roman" w:hAnsi="Times New Roman"/>
          <w:color w:val="000000"/>
          <w:sz w:val="20"/>
        </w:rPr>
        <w:t xml:space="preserve">” </w:t>
      </w:r>
      <w:r>
        <w:rPr>
          <w:rFonts w:ascii="Times New Roman" w:hAnsi="Times New Roman"/>
          <w:color w:val="000000"/>
          <w:sz w:val="24"/>
        </w:rPr>
        <w:t>means Ellenoff Grossman &amp; Schole LLP, with offices located at 1345 Avenue of the Americas, New York, New York 10105-0302.</w:t>
      </w:r>
    </w:p>
    <w:p>
      <w:pPr>
        <w:pStyle w:val="TextBody"/>
        <w:bidi w:val="0"/>
        <w:spacing w:before="0" w:after="240"/>
        <w:jc w:val="both"/>
        <w:rPr/>
      </w:pPr>
      <w:r>
        <w:rPr>
          <w:color w:val="000000"/>
        </w:rPr>
        <w:t>“</w:t>
      </w:r>
      <w:r>
        <w:rPr>
          <w:rFonts w:ascii="Times New Roman" w:hAnsi="Times New Roman"/>
          <w:color w:val="000000"/>
          <w:sz w:val="24"/>
          <w:u w:val="single"/>
        </w:rPr>
        <w:t>Evaluation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3.1(s).</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Exempt Issuance</w:t>
      </w:r>
      <w:r>
        <w:rPr>
          <w:rFonts w:ascii="Times New Roman" w:hAnsi="Times New Roman"/>
          <w:color w:val="000000"/>
          <w:sz w:val="20"/>
        </w:rPr>
        <w:t xml:space="preserve">” </w:t>
      </w:r>
      <w:r>
        <w:rPr>
          <w:rFonts w:ascii="Times New Roman" w:hAnsi="Times New Roman"/>
          <w:color w:val="000000"/>
          <w:sz w:val="24"/>
        </w:rPr>
        <w:t>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24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means the Foreign Corrupt Practices Act of 1977, as amended.</w:t>
      </w:r>
    </w:p>
    <w:p>
      <w:pPr>
        <w:pStyle w:val="TextBody"/>
        <w:bidi w:val="0"/>
        <w:spacing w:before="0" w:after="240"/>
        <w:jc w:val="both"/>
        <w:rPr/>
      </w:pPr>
      <w:r>
        <w:rPr>
          <w:color w:val="000000"/>
        </w:rPr>
        <w:t>“</w:t>
      </w:r>
      <w:r>
        <w:rPr>
          <w:rFonts w:ascii="Times New Roman" w:hAnsi="Times New Roman"/>
          <w:color w:val="000000"/>
          <w:sz w:val="24"/>
          <w:u w:val="single"/>
        </w:rPr>
        <w:t>FDA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3.1(hh).</w:t>
      </w:r>
    </w:p>
    <w:p>
      <w:pPr>
        <w:pStyle w:val="TextBody"/>
        <w:bidi w:val="0"/>
        <w:spacing w:before="0" w:after="240"/>
        <w:jc w:val="both"/>
        <w:rPr/>
      </w:pPr>
      <w:r>
        <w:rPr>
          <w:color w:val="000000"/>
        </w:rPr>
        <w:t>“</w:t>
      </w:r>
      <w:r>
        <w:rPr>
          <w:rFonts w:ascii="Times New Roman" w:hAnsi="Times New Roman"/>
          <w:color w:val="000000"/>
          <w:sz w:val="24"/>
          <w:u w:val="single"/>
        </w:rPr>
        <w:t>FDCA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3.1(hh).</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3.1(aa).</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Intellectual Property Rights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3.1(p).</w:t>
      </w:r>
    </w:p>
    <w:p>
      <w:pPr>
        <w:pStyle w:val="TextBody"/>
        <w:bidi w:val="0"/>
        <w:spacing w:before="0" w:after="240"/>
        <w:jc w:val="both"/>
        <w:rPr/>
      </w:pPr>
      <w:r>
        <w:rPr>
          <w:color w:val="000000"/>
        </w:rPr>
        <w:t>“</w:t>
      </w:r>
      <w:r>
        <w:rPr>
          <w:rFonts w:ascii="Times New Roman" w:hAnsi="Times New Roman"/>
          <w:color w:val="000000"/>
          <w:sz w:val="24"/>
          <w:u w:val="single"/>
        </w:rPr>
        <w:t>Liens</w:t>
      </w:r>
      <w:r>
        <w:rPr>
          <w:rFonts w:ascii="Times New Roman" w:hAnsi="Times New Roman"/>
          <w:color w:val="000000"/>
          <w:sz w:val="20"/>
        </w:rPr>
        <w:t xml:space="preserve">” </w:t>
      </w:r>
      <w:r>
        <w:rPr>
          <w:rFonts w:ascii="Times New Roman" w:hAnsi="Times New Roman"/>
          <w:color w:val="000000"/>
          <w:sz w:val="24"/>
        </w:rPr>
        <w:t>means a lien, charge, pledge, security interest, encumbrance, right of first refusal, preemptive right or other restriction.</w:t>
      </w:r>
    </w:p>
    <w:p>
      <w:pPr>
        <w:pStyle w:val="TextBody"/>
        <w:bidi w:val="0"/>
        <w:spacing w:before="0" w:after="240"/>
        <w:jc w:val="both"/>
        <w:rPr/>
      </w:pPr>
      <w:r>
        <w:rPr>
          <w:color w:val="000000"/>
        </w:rPr>
        <w:t>“</w:t>
      </w:r>
      <w:r>
        <w:rPr>
          <w:rFonts w:ascii="Times New Roman" w:hAnsi="Times New Roman"/>
          <w:color w:val="000000"/>
          <w:sz w:val="24"/>
          <w:u w:val="single"/>
        </w:rPr>
        <w:t>Lock-Up Agreement</w:t>
      </w:r>
      <w:r>
        <w:rPr>
          <w:rFonts w:ascii="Times New Roman" w:hAnsi="Times New Roman"/>
          <w:color w:val="000000"/>
          <w:sz w:val="20"/>
        </w:rPr>
        <w:t xml:space="preserve">” </w:t>
      </w:r>
      <w:r>
        <w:rPr>
          <w:rFonts w:ascii="Times New Roman" w:hAnsi="Times New Roman"/>
          <w:color w:val="000000"/>
          <w:sz w:val="24"/>
        </w:rPr>
        <w:t xml:space="preserve">means the Lock-Up Agreement, dated as of the date hereof, by and among the Company and the directors and officers of the Company,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shall have the meaning assigned to such term in Section 3.1(b).</w:t>
      </w:r>
    </w:p>
    <w:p>
      <w:pPr>
        <w:pStyle w:val="TextBody"/>
        <w:bidi w:val="0"/>
        <w:spacing w:before="0" w:after="240"/>
        <w:jc w:val="both"/>
        <w:rPr/>
      </w:pPr>
      <w:r>
        <w:rPr>
          <w:color w:val="000000"/>
        </w:rPr>
        <w:t>“</w:t>
      </w:r>
      <w:r>
        <w:rPr>
          <w:rFonts w:ascii="Times New Roman" w:hAnsi="Times New Roman"/>
          <w:color w:val="000000"/>
          <w:sz w:val="24"/>
          <w:u w:val="single"/>
        </w:rPr>
        <w:t>Material Permits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3.1(n).</w:t>
      </w:r>
    </w:p>
    <w:p>
      <w:pPr>
        <w:pStyle w:val="TextBody"/>
        <w:bidi w:val="0"/>
        <w:spacing w:before="0" w:after="240"/>
        <w:jc w:val="both"/>
        <w:rPr/>
      </w:pPr>
      <w:r>
        <w:rPr>
          <w:color w:val="000000"/>
        </w:rPr>
        <w:t>“</w:t>
      </w:r>
      <w:r>
        <w:rPr>
          <w:rFonts w:ascii="Times New Roman" w:hAnsi="Times New Roman"/>
          <w:color w:val="000000"/>
          <w:sz w:val="24"/>
          <w:u w:val="single"/>
        </w:rPr>
        <w:t>Per Share Purchase Price</w:t>
      </w:r>
      <w:r>
        <w:rPr>
          <w:rFonts w:ascii="Times New Roman" w:hAnsi="Times New Roman"/>
          <w:color w:val="000000"/>
          <w:sz w:val="20"/>
        </w:rPr>
        <w:t xml:space="preserve">” </w:t>
      </w:r>
      <w:r>
        <w:rPr>
          <w:rFonts w:ascii="Times New Roman" w:hAnsi="Times New Roman"/>
          <w:color w:val="000000"/>
          <w:sz w:val="24"/>
        </w:rPr>
        <w:t>equals $1.05,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color w:val="000000"/>
          <w:sz w:val="24"/>
          <w:u w:val="single"/>
        </w:rPr>
        <w:t>Pharmaceutical Product</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3.1(hh).</w:t>
      </w:r>
    </w:p>
    <w:p>
      <w:pPr>
        <w:pStyle w:val="TextBody"/>
        <w:bidi w:val="0"/>
        <w:spacing w:before="0" w:after="240"/>
        <w:jc w:val="both"/>
        <w:rPr/>
      </w:pPr>
      <w:r>
        <w:rPr>
          <w:color w:val="000000"/>
        </w:rPr>
        <w:t>“</w:t>
      </w:r>
      <w:r>
        <w:rPr>
          <w:rFonts w:ascii="Times New Roman" w:hAnsi="Times New Roman"/>
          <w:color w:val="000000"/>
          <w:sz w:val="24"/>
          <w:u w:val="single"/>
        </w:rPr>
        <w:t>Placement Agent</w:t>
      </w:r>
      <w:r>
        <w:rPr>
          <w:rFonts w:ascii="Times New Roman" w:hAnsi="Times New Roman"/>
          <w:color w:val="000000"/>
          <w:sz w:val="20"/>
        </w:rPr>
        <w:t xml:space="preserve">” </w:t>
      </w:r>
      <w:r>
        <w:rPr>
          <w:rFonts w:ascii="Times New Roman" w:hAnsi="Times New Roman"/>
          <w:color w:val="000000"/>
          <w:sz w:val="24"/>
        </w:rPr>
        <w:t>means H.C. Wainwright &amp; Co., LLC.</w:t>
      </w:r>
    </w:p>
    <w:p>
      <w:pPr>
        <w:pStyle w:val="TextBody"/>
        <w:bidi w:val="0"/>
        <w:spacing w:before="0" w:after="240"/>
        <w:jc w:val="both"/>
        <w:rPr/>
      </w:pPr>
      <w:r>
        <w:rPr>
          <w:color w:val="000000"/>
        </w:rPr>
        <w:t>“</w:t>
      </w:r>
      <w:r>
        <w:rPr>
          <w:rFonts w:ascii="Times New Roman" w:hAnsi="Times New Roman"/>
          <w:color w:val="000000"/>
          <w:sz w:val="24"/>
          <w:u w:val="single"/>
        </w:rPr>
        <w:t>Pre-Funded Warrants</w:t>
      </w:r>
      <w:r>
        <w:rPr>
          <w:rFonts w:ascii="Times New Roman" w:hAnsi="Times New Roman"/>
          <w:color w:val="000000"/>
          <w:sz w:val="20"/>
        </w:rPr>
        <w:t xml:space="preserve">” </w:t>
      </w:r>
      <w:r>
        <w:rPr>
          <w:rFonts w:ascii="Times New Roman" w:hAnsi="Times New Roman"/>
          <w:color w:val="000000"/>
          <w:sz w:val="24"/>
        </w:rPr>
        <w:t xml:space="preserve">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hAnsi="Times New Roman"/>
          <w:color w:val="000000"/>
          <w:sz w:val="24"/>
          <w:u w:val="single"/>
        </w:rPr>
        <w:t>Exhibit A-2</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Pre-Funded Warrant Shares</w:t>
      </w:r>
      <w:r>
        <w:rPr>
          <w:rFonts w:ascii="Times New Roman" w:hAnsi="Times New Roman"/>
          <w:color w:val="000000"/>
          <w:sz w:val="20"/>
        </w:rPr>
        <w:t xml:space="preserve">” </w:t>
      </w:r>
      <w:r>
        <w:rPr>
          <w:rFonts w:ascii="Times New Roman" w:hAnsi="Times New Roman"/>
          <w:color w:val="000000"/>
          <w:sz w:val="24"/>
        </w:rPr>
        <w:t>means the shares of Common Stock issuable upon exercise of the Pre-Funded Warrants.</w:t>
      </w:r>
    </w:p>
    <w:p>
      <w:pPr>
        <w:pStyle w:val="TextBody"/>
        <w:bidi w:val="0"/>
        <w:spacing w:before="0" w:after="240"/>
        <w:jc w:val="both"/>
        <w:rPr/>
      </w:pPr>
      <w:r>
        <w:rPr>
          <w:color w:val="000000"/>
        </w:rPr>
        <w:t>“</w:t>
      </w:r>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an action, claim, suit, investigation or proceeding (including, without limitation, an informal investigation or partial proceeding, such as a deposition), whether commenced or threatened.</w:t>
      </w:r>
    </w:p>
    <w:p>
      <w:pPr>
        <w:pStyle w:val="TextBody"/>
        <w:bidi w:val="0"/>
        <w:spacing w:before="0" w:after="240"/>
        <w:jc w:val="both"/>
        <w:rPr/>
      </w:pPr>
      <w:r>
        <w:rPr>
          <w:color w:val="000000"/>
        </w:rPr>
        <w:t>“</w:t>
      </w:r>
      <w:r>
        <w:rPr>
          <w:rFonts w:ascii="Times New Roman" w:hAnsi="Times New Roman"/>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means the final prospectus filed for the Registration Statement.</w:t>
      </w:r>
    </w:p>
    <w:p>
      <w:pPr>
        <w:pStyle w:val="TextBody"/>
        <w:bidi w:val="0"/>
        <w:spacing w:before="0" w:after="240"/>
        <w:jc w:val="both"/>
        <w:rPr/>
      </w:pPr>
      <w:r>
        <w:rPr>
          <w:color w:val="000000"/>
        </w:rPr>
        <w:t>“</w:t>
      </w:r>
      <w:r>
        <w:rPr>
          <w:rFonts w:ascii="Times New Roman" w:hAnsi="Times New Roman"/>
          <w:color w:val="000000"/>
          <w:sz w:val="24"/>
          <w:u w:val="single"/>
        </w:rPr>
        <w:t>Prospectus Supplement</w:t>
      </w:r>
      <w:r>
        <w:rPr>
          <w:rFonts w:ascii="Times New Roman" w:hAnsi="Times New Roman"/>
          <w:color w:val="000000"/>
          <w:sz w:val="20"/>
        </w:rPr>
        <w:t xml:space="preserve">” </w:t>
      </w:r>
      <w:r>
        <w:rPr>
          <w:rFonts w:ascii="Times New Roman" w:hAnsi="Times New Roman"/>
          <w:color w:val="000000"/>
          <w:sz w:val="24"/>
        </w:rPr>
        <w:t>means the supplement to the Prospectus complying with Rule 424(b) of the Securities Act that is filed with the Commission and delivered by the Company to each Purchaser at the Closing.</w:t>
      </w:r>
    </w:p>
    <w:p>
      <w:pPr>
        <w:pStyle w:val="TextBody"/>
        <w:bidi w:val="0"/>
        <w:spacing w:before="0" w:after="240"/>
        <w:jc w:val="both"/>
        <w:rPr/>
      </w:pPr>
      <w:r>
        <w:rPr>
          <w:color w:val="000000"/>
        </w:rPr>
        <w:t>“</w:t>
      </w:r>
      <w:r>
        <w:rPr>
          <w:rFonts w:ascii="Times New Roman" w:hAnsi="Times New Roman"/>
          <w:color w:val="000000"/>
          <w:sz w:val="24"/>
          <w:u w:val="single"/>
        </w:rPr>
        <w:t>Purchaser Party</w:t>
      </w:r>
      <w:r>
        <w:rPr>
          <w:rFonts w:ascii="Times New Roman" w:hAnsi="Times New Roman"/>
          <w:color w:val="000000"/>
          <w:sz w:val="20"/>
        </w:rPr>
        <w:t xml:space="preserve">” </w:t>
      </w:r>
      <w:r>
        <w:rPr>
          <w:rFonts w:ascii="Times New Roman" w:hAnsi="Times New Roman"/>
          <w:color w:val="000000"/>
          <w:sz w:val="24"/>
        </w:rPr>
        <w:t>shall have the meaning ascribed to such term in Section 4.8.</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the effective registration statement with Commission file No. 333-285327 which registers the sale of the Shares, the Warrants and the Warrant Shares to the Purchasers.</w:t>
      </w:r>
    </w:p>
    <w:p>
      <w:pPr>
        <w:pStyle w:val="TextBody"/>
        <w:bidi w:val="0"/>
        <w:spacing w:before="0" w:after="240"/>
        <w:jc w:val="both"/>
        <w:rPr/>
      </w:pPr>
      <w:r>
        <w:rPr>
          <w:color w:val="000000"/>
        </w:rPr>
        <w:t>“</w:t>
      </w:r>
      <w:r>
        <w:rPr>
          <w:rFonts w:ascii="Times New Roman" w:hAnsi="Times New Roman"/>
          <w:color w:val="000000"/>
          <w:sz w:val="24"/>
          <w:u w:val="single"/>
        </w:rPr>
        <w:t>Required Approvals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w:t>
      </w:r>
    </w:p>
    <w:p>
      <w:pPr>
        <w:pStyle w:val="TextBody"/>
        <w:bidi w:val="0"/>
        <w:spacing w:before="0" w:after="240"/>
        <w:jc w:val="both"/>
        <w:rPr/>
      </w:pPr>
      <w:r>
        <w:rPr>
          <w:color w:val="000000"/>
        </w:rPr>
        <w:t>“</w:t>
      </w:r>
      <w:r>
        <w:rPr>
          <w:rFonts w:ascii="Times New Roman" w:hAnsi="Times New Roman"/>
          <w:color w:val="000000"/>
          <w:sz w:val="24"/>
          <w:u w:val="single"/>
        </w:rPr>
        <w:t>Rule 144</w:t>
      </w:r>
      <w:r>
        <w:rPr>
          <w:rFonts w:ascii="Times New Roman" w:hAnsi="Times New Roman"/>
          <w:color w:val="000000"/>
          <w:sz w:val="20"/>
        </w:rPr>
        <w:t xml:space="preserve">” </w:t>
      </w:r>
      <w:r>
        <w:rPr>
          <w:rFonts w:ascii="Times New Roman" w:hAnsi="Times New Roman"/>
          <w:color w:val="000000"/>
          <w:sz w:val="24"/>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pPr>
      <w:r>
        <w:rPr>
          <w:color w:val="000000"/>
        </w:rPr>
        <w:t>“</w:t>
      </w:r>
      <w:r>
        <w:rPr>
          <w:rFonts w:ascii="Times New Roman" w:hAnsi="Times New Roman"/>
          <w:color w:val="000000"/>
          <w:sz w:val="24"/>
          <w:u w:val="single"/>
        </w:rPr>
        <w:t>SEC Reports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w:t>
      </w:r>
    </w:p>
    <w:p>
      <w:pPr>
        <w:pStyle w:val="TextBody"/>
        <w:bidi w:val="0"/>
        <w:spacing w:before="0" w:after="2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means the Shares, the Warrants and the Warrant Shares.</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Shares</w:t>
      </w:r>
      <w:r>
        <w:rPr>
          <w:rFonts w:ascii="Times New Roman" w:hAnsi="Times New Roman"/>
          <w:color w:val="000000"/>
          <w:sz w:val="20"/>
        </w:rPr>
        <w:t xml:space="preserve">” </w:t>
      </w:r>
      <w:r>
        <w:rPr>
          <w:rFonts w:ascii="Times New Roman" w:hAnsi="Times New Roman"/>
          <w:color w:val="000000"/>
          <w:sz w:val="24"/>
        </w:rPr>
        <w:t>means the shares of Common Stock issued or issuable to each Purchaser pursuant to this Agreement.</w:t>
      </w:r>
    </w:p>
    <w:p>
      <w:pPr>
        <w:pStyle w:val="TextBody"/>
        <w:bidi w:val="0"/>
        <w:spacing w:before="0" w:after="240"/>
        <w:jc w:val="both"/>
        <w:rPr/>
      </w:pPr>
      <w:r>
        <w:rPr>
          <w:color w:val="000000"/>
        </w:rPr>
        <w:t>“</w:t>
      </w:r>
      <w:r>
        <w:rPr>
          <w:rFonts w:ascii="Times New Roman" w:hAnsi="Times New Roman"/>
          <w:color w:val="000000"/>
          <w:sz w:val="24"/>
          <w:u w:val="single"/>
        </w:rPr>
        <w:t>Short Sales</w:t>
      </w:r>
      <w:r>
        <w:rPr>
          <w:rFonts w:ascii="Times New Roman" w:hAnsi="Times New Roman"/>
          <w:color w:val="000000"/>
          <w:sz w:val="20"/>
        </w:rPr>
        <w:t xml:space="preserve">” </w:t>
      </w:r>
      <w:r>
        <w:rPr>
          <w:rFonts w:ascii="Times New Roman" w:hAnsi="Times New Roman"/>
          <w:color w:val="000000"/>
          <w:sz w:val="24"/>
        </w:rPr>
        <w:t>means all “short sales” as defined in Rule 200 of Regulation SHO under the Exchange Act (but shall not be deemed to include locating and/or borrowing shares of Common Stock).</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Subscription Amount</w:t>
      </w:r>
      <w:r>
        <w:rPr>
          <w:rFonts w:ascii="Times New Roman" w:hAnsi="Times New Roman"/>
          <w:color w:val="000000"/>
          <w:sz w:val="20"/>
        </w:rPr>
        <w:t xml:space="preserve">” </w:t>
      </w:r>
      <w:r>
        <w:rPr>
          <w:rFonts w:ascii="Times New Roman" w:hAnsi="Times New Roman"/>
          <w:color w:val="000000"/>
          <w:sz w:val="24"/>
        </w:rPr>
        <w:t>means, as to each Purchaser, the aggregate amount to be paid for Shares and Warrants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 xml:space="preserve">means any subsidiary of the Company as set forth on </w:t>
      </w:r>
      <w:r>
        <w:rPr>
          <w:rFonts w:ascii="Times New Roman" w:hAnsi="Times New Roman"/>
          <w:color w:val="000000"/>
          <w:sz w:val="24"/>
          <w:u w:val="single"/>
        </w:rPr>
        <w:t>Schedule 3.1(a)</w:t>
      </w:r>
      <w:r>
        <w:rPr>
          <w:rFonts w:ascii="Times New Roman" w:hAnsi="Times New Roman"/>
          <w:color w:val="000000"/>
          <w:sz w:val="24"/>
        </w:rPr>
        <w:t>, and shall, where applicable, also include any direct or indirect subsidiary of the Company formed or acquired after the date hereof.</w:t>
      </w:r>
    </w:p>
    <w:p>
      <w:pPr>
        <w:pStyle w:val="TextBody"/>
        <w:bidi w:val="0"/>
        <w:spacing w:before="0" w:after="24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Nasdaq Capital Market, the Nasdaq Global Market, the Nasdaq Global Select Market, or the New York Stock Exchange (or any successors to any of the foregoing).</w:t>
      </w:r>
    </w:p>
    <w:p>
      <w:pPr>
        <w:pStyle w:val="TextBody"/>
        <w:bidi w:val="0"/>
        <w:spacing w:before="0" w:after="240"/>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0"/>
        </w:rPr>
        <w:t xml:space="preserve">” </w:t>
      </w:r>
      <w:r>
        <w:rPr>
          <w:rFonts w:ascii="Times New Roman" w:hAnsi="Times New Roman"/>
          <w:color w:val="000000"/>
          <w:sz w:val="24"/>
        </w:rPr>
        <w:t>means this Agreement, the Warrants, the Lock-Up Agreements, all exhibits and schedules thereto and hereto and any other documents or agreements executed in connection with the transactions contemplated hereunder.</w:t>
      </w:r>
    </w:p>
    <w:p>
      <w:pPr>
        <w:pStyle w:val="TextBody"/>
        <w:bidi w:val="0"/>
        <w:spacing w:before="0" w:after="240"/>
        <w:jc w:val="both"/>
        <w:rPr/>
      </w:pPr>
      <w:r>
        <w:rPr>
          <w:color w:val="000000"/>
        </w:rPr>
        <w:t>“</w:t>
      </w:r>
      <w:r>
        <w:rPr>
          <w:rFonts w:ascii="Times New Roman" w:hAnsi="Times New Roman"/>
          <w:color w:val="000000"/>
          <w:sz w:val="24"/>
          <w:u w:val="single"/>
        </w:rPr>
        <w:t>Transfer Agent</w:t>
      </w:r>
      <w:r>
        <w:rPr>
          <w:rFonts w:ascii="Times New Roman" w:hAnsi="Times New Roman"/>
          <w:color w:val="000000"/>
          <w:sz w:val="20"/>
        </w:rPr>
        <w:t xml:space="preserve">” </w:t>
      </w:r>
      <w:r>
        <w:rPr>
          <w:rFonts w:ascii="Times New Roman" w:hAnsi="Times New Roman"/>
          <w:color w:val="000000"/>
          <w:sz w:val="24"/>
        </w:rPr>
        <w:t>means Pacific Stock Transfer Company, the current transfer agent of the Company, and any successor transfer agent of the Company.</w:t>
      </w:r>
    </w:p>
    <w:p>
      <w:pPr>
        <w:pStyle w:val="TextBody"/>
        <w:bidi w:val="0"/>
        <w:spacing w:before="0" w:after="240"/>
        <w:jc w:val="both"/>
        <w:rPr/>
      </w:pPr>
      <w:r>
        <w:rPr>
          <w:color w:val="000000"/>
        </w:rPr>
        <w:t>“</w:t>
      </w:r>
      <w:r>
        <w:rPr>
          <w:rFonts w:ascii="Times New Roman" w:hAnsi="Times New Roman"/>
          <w:color w:val="000000"/>
          <w:sz w:val="24"/>
          <w:u w:val="single"/>
        </w:rPr>
        <w:t>Variable Rate Transaction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4.11(b).</w:t>
      </w:r>
    </w:p>
    <w:p>
      <w:pPr>
        <w:pStyle w:val="TextBody"/>
        <w:bidi w:val="0"/>
        <w:spacing w:before="0" w:after="240"/>
        <w:jc w:val="both"/>
        <w:rPr/>
      </w:pPr>
      <w:r>
        <w:rPr>
          <w:color w:val="000000"/>
        </w:rPr>
        <w:t>“</w:t>
      </w:r>
      <w:r>
        <w:rPr>
          <w:rFonts w:ascii="Times New Roman" w:hAnsi="Times New Roman"/>
          <w:color w:val="000000"/>
          <w:sz w:val="24"/>
          <w:u w:val="single"/>
        </w:rPr>
        <w:t>Warrants</w:t>
      </w:r>
      <w:r>
        <w:rPr>
          <w:rFonts w:ascii="Times New Roman" w:hAnsi="Times New Roman"/>
          <w:color w:val="000000"/>
          <w:sz w:val="20"/>
        </w:rPr>
        <w:t xml:space="preserve">” </w:t>
      </w:r>
      <w:r>
        <w:rPr>
          <w:rFonts w:ascii="Times New Roman" w:hAnsi="Times New Roman"/>
          <w:color w:val="000000"/>
          <w:sz w:val="24"/>
        </w:rPr>
        <w:t>means, collectively, the Common Warrants and the Pre-Funded Warrants.</w:t>
      </w:r>
    </w:p>
    <w:p>
      <w:pPr>
        <w:pStyle w:val="TextBody"/>
        <w:bidi w:val="0"/>
        <w:spacing w:before="0" w:after="240"/>
        <w:jc w:val="both"/>
        <w:rPr/>
      </w:pPr>
      <w:r>
        <w:rPr>
          <w:color w:val="000000"/>
        </w:rPr>
        <w:t>“</w:t>
      </w:r>
      <w:r>
        <w:rPr>
          <w:rFonts w:ascii="Times New Roman" w:hAnsi="Times New Roman"/>
          <w:color w:val="000000"/>
          <w:sz w:val="24"/>
          <w:u w:val="single"/>
        </w:rPr>
        <w:t>Warrant Shares</w:t>
      </w:r>
      <w:r>
        <w:rPr>
          <w:rFonts w:ascii="Times New Roman" w:hAnsi="Times New Roman"/>
          <w:color w:val="000000"/>
          <w:sz w:val="20"/>
        </w:rPr>
        <w:t xml:space="preserve">” </w:t>
      </w:r>
      <w:r>
        <w:rPr>
          <w:rFonts w:ascii="Times New Roman" w:hAnsi="Times New Roman"/>
          <w:color w:val="000000"/>
          <w:sz w:val="24"/>
        </w:rPr>
        <w:t>means, collectively, the Common Warrant Shares and the Pre-Funded Warrant Shares.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t>PURCHASE AND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Closing</w:t>
      </w:r>
      <w:r>
        <w:rPr>
          <w:rFonts w:ascii="Times New Roman" w:hAnsi="Times New Roman"/>
          <w:color w:val="000000"/>
          <w:sz w:val="24"/>
        </w:rPr>
        <w:t xml:space="preserve">. On the Closing Date, upon the terms and subject to the conditions set forth herein, the Company agrees to sell, and the Purchasers, severally and not jointly, agree to purchase, up to an aggregate of $10,050,000 of Shares and Common Warrants;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such manner to result in the same aggregate purchase price being paid by such Purchaser to the Company. The “Beneficial Ownership Limitation” shall be 4.99% (or, with respect to each Purchaser, at the election of such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hAnsi="Times New Roman"/>
          <w:color w:val="000000"/>
          <w:sz w:val="24"/>
          <w:u w:val="single"/>
        </w:rPr>
        <w:t>Pre-Settlement Period</w:t>
      </w:r>
      <w:r>
        <w:rPr>
          <w:color w:val="000000"/>
        </w:rPr>
        <w:t>”</w:t>
      </w:r>
      <w:r>
        <w:rPr>
          <w:rFonts w:ascii="Times New Roman" w:hAnsi="Times New Roman"/>
          <w:color w:val="000000"/>
          <w:sz w:val="24"/>
        </w:rPr>
        <w:t>), such Purchaser sells to any Person all, or any portion, of the Shares to be issued hereunder to such Purchaser at the Closing (collectively, the “</w:t>
      </w:r>
      <w:r>
        <w:rPr>
          <w:rFonts w:ascii="Times New Roman" w:hAnsi="Times New Roman"/>
          <w:color w:val="000000"/>
          <w:sz w:val="24"/>
          <w:u w:val="single"/>
        </w:rPr>
        <w:t>Pre-Settlement Shares</w:t>
      </w:r>
      <w:r>
        <w:rPr>
          <w:color w:val="000000"/>
        </w:rPr>
        <w:t>”</w:t>
      </w:r>
      <w:r>
        <w:rPr>
          <w:rFonts w:ascii="Times New Roman" w:hAnsi="Times New Roman"/>
          <w:color w:val="000000"/>
          <w:sz w:val="24"/>
        </w:rPr>
        <w:t xml:space="preserve">), such Purchaser shall, automatically hereunder (without any additional required actions by such Purchaser or the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Company), be deemed to be unconditionally bound to purchase, and the Company shall be deemed to be unconditionally bound to sell,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hAnsi="Times New Roman"/>
          <w:color w:val="000000"/>
          <w:sz w:val="24"/>
          <w:u w:val="single"/>
        </w:rPr>
        <w:t>DVP</w:t>
      </w:r>
      <w:r>
        <w:rPr>
          <w:color w:val="000000"/>
        </w:rPr>
        <w:t>”</w:t>
      </w:r>
      <w:r>
        <w:rPr>
          <w:rFonts w:ascii="Times New Roman" w:hAnsi="Times New Roman"/>
          <w:color w:val="000000"/>
          <w:sz w:val="24"/>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Warrants) for purposes hereunder.</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Deliveries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Closing Date (except as indicated below), the Company shall deliver or cause to be delivered to each Purchaser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duly executed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legal opinion of Company Counsel, directed to the Placement Agent and the Purchasers, in a form reasonably acceptable to the Placement Agent and Purchasers;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2.1, the Company shall have provided each Purchaser with the Company’s wire instructions, on Company letterhead and executed by the Chief Executive Officer or 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subject to Section 2.1, a copy of the irrevocable instructions to the Transfer Agent instructing the Transfer Agent to deliver on an expedited basis via The Depository Trust Company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Shares equal to such Purchaser’s Subscription Amount divided by the Per Share Purchase Price (minus the number of shares of Common Stock issuable upon exercise of such Purchaser’s Pre-Funded Warrant, if applicable), registered in the name of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Common Warrant registered in the name of such Purchaser to purchase up to a number of shares of Common Stock equal to 100% of the sum of such Purchaser’s Shares and Pre-Funded Warrant Shares initially issuable upon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exercise of the Pre-Funded Warrants, if applicable, with an exercise price equal to $1.31, subject to adjustment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Purchase Price minus $0.0001, with an exercise price equal to $0.0001, subject to adjustment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duly executed Lock-Up Agreements;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Prospectus Supplement (which may be delivered in accordance with Rule 172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Closing Date, each Purchaser shall deliver or cause to be delivered to the Company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duly executed by such Purchaser;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Purchaser’s Subscription Amount, which shall be made available for “Delivery Versus Payment” settlement with the Company or its designee.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Closing Conditions</w:t>
      </w:r>
      <w:r>
        <w:rPr>
          <w:rFonts w:ascii="Times New Roman" w:hAnsi="Times New Roman"/>
          <w:color w:val="000000"/>
          <w:sz w:val="24"/>
        </w:rPr>
        <w:t>.</w:t>
      </w:r>
      <w:r>
        <w:rPr>
          <w:color w:val="000000"/>
          <w:u w:val="single"/>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 The obligations of the Company hereunder in connection with the Closing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obligations, covenants and agreements of each Purchaser required to be performed at or prior to the Closing Date shall have been performed;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delivery by each Purchaser of the items set forth in Section 2.2(b)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respective obligations of the Purchasers hereunder in connection with the Closing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accuracy in all material respects (or, to the extent representations or warranties are qualified by materiality or Material Adverse Effect, in all respects)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obligations, covenants and agreements of the Company required to be performed at or prior to the Closing Date shall have been performed;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delivery by the Company of the items set forth in Section 2.2(a)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shall have been no Material Adverse Effect with respect to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xml:space="preserve">. All of the direct and indirect subsidiaries of the Company are set forth on </w:t>
      </w:r>
      <w:r>
        <w:rPr>
          <w:rFonts w:ascii="Times New Roman" w:hAnsi="Times New Roman"/>
          <w:color w:val="000000"/>
          <w:sz w:val="24"/>
          <w:u w:val="single"/>
        </w:rPr>
        <w:t>Schedule 3.1(a)</w:t>
      </w:r>
      <w:r>
        <w:rPr>
          <w:rFonts w:ascii="Times New Roman" w:hAnsi="Times New Roman"/>
          <w:color w:val="000000"/>
          <w:sz w:val="24"/>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and Qualification</w:t>
      </w:r>
      <w:r>
        <w:rPr>
          <w:rFonts w:ascii="Times New Roman" w:hAnsi="Times New Roman"/>
          <w:color w:val="000000"/>
          <w:sz w:val="24"/>
        </w:rPr>
        <w:t xml:space="preserve">. The Company and each of the Subsidiaries is an entity duly incorporated or otherwise organized, validly existing and, if applicable under the laws of the jurisdiction in which they are formed, in good standing (or such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similar concept)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color w:val="000000"/>
          <w:sz w:val="24"/>
          <w:u w:val="single"/>
        </w:rPr>
        <w:t>Material Adverse Effect</w:t>
      </w:r>
      <w:r>
        <w:rPr>
          <w:color w:val="000000"/>
        </w:rPr>
        <w:t>”</w:t>
      </w:r>
      <w:r>
        <w:rPr>
          <w:rFonts w:ascii="Times New Roman" w:hAnsi="Times New Roman"/>
          <w:color w:val="000000"/>
          <w:sz w:val="24"/>
        </w:rPr>
        <w:t>) and no Proceeding has been instituted in any such jurisdiction revoking, limiting or curtailing or seeking to revoke, limit or curtail such power and authority or qualification.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Authorization; Enforcement</w:t>
      </w:r>
      <w:r>
        <w:rPr>
          <w:rFonts w:ascii="Times New Roman" w:hAnsi="Times New Roman"/>
          <w:color w:val="000000"/>
          <w:sz w:val="24"/>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 Conflicts</w:t>
      </w:r>
      <w:r>
        <w:rPr>
          <w:rFonts w:ascii="Times New Roman" w:hAnsi="Times New Roman"/>
          <w:color w:val="000000"/>
          <w:sz w:val="24"/>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pursuant to, or give to others any rights of termination, amendment, anti-dilution or similar adjustments, acceleration or cancellation (with or without notice, lapse of time or both) of,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Filings, Consents and Approvals</w:t>
      </w:r>
      <w:r>
        <w:rPr>
          <w:rFonts w:ascii="Times New Roman" w:hAnsi="Times New Roman"/>
          <w:color w:val="000000"/>
          <w:sz w:val="24"/>
        </w:rPr>
        <w:t>.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listing of the Shares and Warrant Shares for trading thereon in the time and manner required thereby, (iv) such filings as are required to be made under applicable state securities laws, and (v) Authorized Share Approval (collectively, the “</w:t>
      </w:r>
      <w:r>
        <w:rPr>
          <w:rFonts w:ascii="Times New Roman" w:hAnsi="Times New Roman"/>
          <w:color w:val="000000"/>
          <w:sz w:val="24"/>
          <w:u w:val="single"/>
        </w:rPr>
        <w:t>Required Approvals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Issuance of the Securities; Registration</w:t>
      </w:r>
      <w:r>
        <w:rPr>
          <w:rFonts w:ascii="Times New Roman" w:hAnsi="Times New Roman"/>
          <w:color w:val="000000"/>
          <w:sz w:val="24"/>
        </w:rPr>
        <w:t xml:space="preserve">. The Securities are duly authorized or in the case of the Common Warrant Shares, will be on the Authorized Share Increase Date, and, when issued and paid for in accordance with the applicable Transaction Documents, will be duly and validly issued, fully paid and nonassessable, free and clear of all Liens imposed by the Company. The Warrants, when paid for an issued in accordance with this Agreement, will constitute valid and binding obligations of the Company, enforceable against the Company in accordance with their terms, except as such enforceability may be limited by bankruptcy, insolvency, reorganization, moratorium and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on and after the Authorized Share Increase Date, the Common Warrants. The Company has prepared and filed the Registration Statement in conformity with the requirements of the Securities Act, which became effective on May 13,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as set forth in General Instruction I.B.1 of Form S-3.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xml:space="preserve">. The capitalization of the Company as of the date hereof is as set forth on </w:t>
      </w:r>
      <w:r>
        <w:rPr>
          <w:rFonts w:ascii="Times New Roman" w:hAnsi="Times New Roman"/>
          <w:color w:val="000000"/>
          <w:sz w:val="24"/>
          <w:u w:val="single"/>
        </w:rPr>
        <w:t>Schedule 3.1(g)</w:t>
      </w:r>
      <w:r>
        <w:rPr>
          <w:rFonts w:ascii="Times New Roman" w:hAnsi="Times New Roman"/>
          <w:color w:val="000000"/>
          <w:sz w:val="24"/>
        </w:rPr>
        <w:t xml:space="preserve">, which </w:t>
      </w:r>
      <w:r>
        <w:rPr>
          <w:rFonts w:ascii="Times New Roman" w:hAnsi="Times New Roman"/>
          <w:color w:val="000000"/>
          <w:sz w:val="24"/>
          <w:u w:val="single"/>
        </w:rPr>
        <w:t>Schedule 3.1(g)</w:t>
      </w:r>
      <w:r>
        <w:rPr>
          <w:color w:val="000000"/>
        </w:rPr>
        <w:t xml:space="preserve"> </w:t>
      </w:r>
      <w:r>
        <w:rPr>
          <w:rFonts w:ascii="Times New Roman" w:hAnsi="Times New Roman"/>
          <w:color w:val="000000"/>
          <w:sz w:val="24"/>
        </w:rPr>
        <w:t xml:space="preserve">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 w:hAnsi="Times New Roman"/>
          <w:color w:val="000000"/>
          <w:sz w:val="24"/>
          <w:u w:val="single"/>
        </w:rPr>
        <w:t>Schedule 3.1(g)</w:t>
      </w:r>
      <w:r>
        <w:rPr>
          <w:rFonts w:ascii="Times New Roman" w:hAnsi="Times New Roman"/>
          <w:color w:val="000000"/>
          <w:sz w:val="24"/>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Authorized Share Approval, no further approval or authorization of any stockholder, the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SEC Reports; Financial Statements</w:t>
      </w:r>
      <w:r>
        <w:rPr>
          <w:rFonts w:ascii="Times New Roman" w:hAnsi="Times New Roman"/>
          <w:color w:val="000000"/>
          <w:sz w:val="24"/>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hAnsi="Times New Roman"/>
          <w:color w:val="000000"/>
          <w:sz w:val="24"/>
          <w:u w:val="single"/>
        </w:rPr>
        <w:t>SEC Reports</w:t>
      </w:r>
      <w:r>
        <w:rPr>
          <w:color w:val="000000"/>
        </w:rPr>
        <w:t>”</w:t>
      </w:r>
      <w:r>
        <w:rPr>
          <w:rFonts w:ascii="Times New Roman" w:hAnsi="Times New Roman"/>
          <w:color w:val="000000"/>
          <w:sz w:val="24"/>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4"/>
          <w:u w:val="single"/>
        </w:rPr>
        <w:t>GAAP</w:t>
      </w:r>
      <w:r>
        <w:rPr>
          <w:color w:val="000000"/>
        </w:rPr>
        <w:t>”</w:t>
      </w:r>
      <w:r>
        <w:rPr>
          <w:rFonts w:ascii="Times New Roman" w:hAnsi="Times New Roman"/>
          <w:color w:val="000000"/>
          <w:sz w:val="24"/>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Material Changes; Undisclosed Events, Liabilities or Developments</w:t>
      </w:r>
      <w:r>
        <w:rPr>
          <w:rFonts w:ascii="Times New Roman" w:hAnsi="Times New Roman"/>
          <w:color w:val="000000"/>
          <w:sz w:val="24"/>
        </w:rPr>
        <w:t xml:space="preserve">. Since the date of the latest audited financial statements included within the SEC Reports, except as set forth on </w:t>
      </w:r>
      <w:r>
        <w:rPr>
          <w:rFonts w:ascii="Times New Roman" w:hAnsi="Times New Roman"/>
          <w:color w:val="000000"/>
          <w:sz w:val="24"/>
          <w:u w:val="single"/>
        </w:rPr>
        <w:t>Schedule 3.1(i)</w:t>
      </w:r>
      <w:r>
        <w:rPr>
          <w:rFonts w:ascii="Times New Roman" w:hAnsi="Times New Roman"/>
          <w:color w:val="000000"/>
          <w:sz w:val="24"/>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hAnsi="Times New Roman"/>
          <w:color w:val="000000"/>
          <w:sz w:val="24"/>
          <w:u w:val="single"/>
        </w:rPr>
        <w:t>Schedule 3.1(i)</w:t>
      </w:r>
      <w:r>
        <w:rPr>
          <w:rFonts w:ascii="Times New Roman" w:hAnsi="Times New Roman"/>
          <w:color w:val="000000"/>
          <w:sz w:val="24"/>
        </w:rPr>
        <w:t xml:space="preserve">, no event, liability, fact, circumstance, occurrence or development has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Litigation</w:t>
      </w:r>
      <w:r>
        <w:rPr>
          <w:rFonts w:ascii="Times New Roman" w:hAnsi="Times New Roman"/>
          <w:color w:val="000000"/>
          <w:sz w:val="24"/>
        </w:rPr>
        <w:t xml:space="preserve">. Except as set forth on </w:t>
      </w:r>
      <w:r>
        <w:rPr>
          <w:rFonts w:ascii="Times New Roman" w:hAnsi="Times New Roman"/>
          <w:color w:val="000000"/>
          <w:sz w:val="24"/>
          <w:u w:val="single"/>
        </w:rPr>
        <w:t>Schedule 3.1(j)</w:t>
      </w:r>
      <w:r>
        <w:rPr>
          <w:rFonts w:ascii="Times New Roman" w:hAnsi="Times New Roman"/>
          <w:color w:val="000000"/>
          <w:sz w:val="24"/>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color w:val="000000"/>
          <w:sz w:val="24"/>
          <w:u w:val="single"/>
        </w:rPr>
        <w:t>Action</w:t>
      </w:r>
      <w:r>
        <w:rPr>
          <w:color w:val="000000"/>
        </w:rPr>
        <w:t>”</w:t>
      </w:r>
      <w:r>
        <w:rPr>
          <w:rFonts w:ascii="Times New Roman" w:hAnsi="Times New Roman"/>
          <w:color w:val="000000"/>
          <w:sz w:val="24"/>
        </w:rPr>
        <w:t xml:space="preserve">). None of the Actions set forth on </w:t>
      </w:r>
      <w:r>
        <w:rPr>
          <w:rFonts w:ascii="Times New Roman" w:hAnsi="Times New Roman"/>
          <w:color w:val="000000"/>
          <w:sz w:val="24"/>
          <w:u w:val="single"/>
        </w:rPr>
        <w:t>Schedule 3.1(j)</w:t>
      </w:r>
      <w:r>
        <w:rPr>
          <w:rFonts w:ascii="Times New Roman" w:hAnsi="Times New Roman"/>
          <w:color w:val="000000"/>
          <w:sz w:val="24"/>
        </w:rPr>
        <w:t xml:space="preserve">,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Labor Relations</w:t>
      </w:r>
      <w:r>
        <w:rPr>
          <w:rFonts w:ascii="Times New Roman" w:hAnsi="Times New Roman"/>
          <w:color w:val="000000"/>
          <w:sz w:val="24"/>
        </w:rPr>
        <w:t>. No labor dispute exists or, to the knowledge of the Company, is threatened or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Compliance</w:t>
      </w:r>
      <w:r>
        <w:rPr>
          <w:rFonts w:ascii="Times New Roman" w:hAnsi="Times New Roman"/>
          <w:color w:val="000000"/>
          <w:sz w:val="24"/>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4"/>
          <w:u w:val="single"/>
        </w:rPr>
        <w:t>Hazardous Materials</w:t>
      </w:r>
      <w:r>
        <w:rPr>
          <w:color w:val="000000"/>
        </w:rPr>
        <w:t>”</w:t>
      </w:r>
      <w:r>
        <w:rPr>
          <w:rFonts w:ascii="Times New Roman" w:hAnsi="Times New Roman"/>
          <w:color w:val="000000"/>
          <w:sz w:val="24"/>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4"/>
          <w:u w:val="single"/>
        </w:rPr>
        <w:t>Environmental Laws</w:t>
      </w:r>
      <w:r>
        <w:rPr>
          <w:color w:val="000000"/>
        </w:rPr>
        <w:t>”</w:t>
      </w:r>
      <w:r>
        <w:rPr>
          <w:rFonts w:ascii="Times New Roman" w:hAnsi="Times New Roman"/>
          <w:color w:val="000000"/>
          <w:sz w:val="24"/>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Regulatory Permits</w:t>
      </w:r>
      <w:r>
        <w:rPr>
          <w:rFonts w:ascii="Times New Roman" w:hAnsi="Times New Roman"/>
          <w:color w:val="000000"/>
          <w:sz w:val="24"/>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4"/>
          <w:u w:val="single"/>
        </w:rPr>
        <w:t>Material Permits</w:t>
      </w:r>
      <w:r>
        <w:rPr>
          <w:color w:val="000000"/>
        </w:rPr>
        <w:t>”</w:t>
      </w:r>
      <w:r>
        <w:rPr>
          <w:rFonts w:ascii="Times New Roman" w:hAnsi="Times New Roman"/>
          <w:color w:val="000000"/>
          <w:sz w:val="24"/>
        </w:rPr>
        <w:t>), and neither the Company nor any Subsidiary has received any notice of proceedings relating to the revocation or modification of any Material Permit.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Title to Assets</w:t>
      </w:r>
      <w:r>
        <w:rPr>
          <w:rFonts w:ascii="Times New Roman" w:hAnsi="Times New Roman"/>
          <w:color w:val="000000"/>
          <w:sz w:val="24"/>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olor w:val="000000"/>
          <w:sz w:val="24"/>
          <w:u w:val="single"/>
        </w:rPr>
        <w:t>Intellectual Property Rights</w:t>
      </w:r>
      <w:r>
        <w:rPr>
          <w:color w:val="000000"/>
        </w:rPr>
        <w:t>”</w:t>
      </w:r>
      <w:r>
        <w:rPr>
          <w:rFonts w:ascii="Times New Roman" w:hAnsi="Times New Roman"/>
          <w:color w:val="000000"/>
          <w:sz w:val="24"/>
        </w:rPr>
        <w:t>). Except as set forth on Schedule 3.1 (p),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Transactions With Affiliates and Employees</w:t>
      </w:r>
      <w:r>
        <w:rPr>
          <w:rFonts w:ascii="Times New Roman" w:hAnsi="Times New Roman"/>
          <w:color w:val="000000"/>
          <w:sz w:val="24"/>
        </w:rPr>
        <w:t xml:space="preserve">. Except as set forth on </w:t>
      </w:r>
      <w:r>
        <w:rPr>
          <w:rFonts w:ascii="Times New Roman" w:hAnsi="Times New Roman"/>
          <w:color w:val="000000"/>
          <w:sz w:val="24"/>
          <w:u w:val="single"/>
        </w:rPr>
        <w:t>Schedule 3.1(r)</w:t>
      </w:r>
      <w:r>
        <w:rPr>
          <w:rFonts w:ascii="Times New Roman" w:hAnsi="Times New Roman"/>
          <w:color w:val="000000"/>
          <w:sz w:val="24"/>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Sarbanes-Oxley; Internal Accounting Controls</w:t>
      </w:r>
      <w:r>
        <w:rPr>
          <w:rFonts w:ascii="Times New Roman" w:hAnsi="Times New Roman"/>
          <w:color w:val="000000"/>
          <w:sz w:val="24"/>
        </w:rPr>
        <w:t xml:space="preserve">. The Company and the Subsidiaries are in compliance with any and all applicable requirements of the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olor w:val="000000"/>
          <w:sz w:val="24"/>
          <w:u w:val="single"/>
        </w:rPr>
        <w:t>Evaluation Date</w:t>
      </w:r>
      <w:r>
        <w:rPr>
          <w:color w:val="000000"/>
        </w:rPr>
        <w:t>”</w:t>
      </w:r>
      <w:r>
        <w:rPr>
          <w:rFonts w:ascii="Times New Roman" w:hAnsi="Times New Roman"/>
          <w:color w:val="000000"/>
          <w:sz w:val="24"/>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Certain Fees</w:t>
      </w:r>
      <w:r>
        <w:rPr>
          <w:rFonts w:ascii="Times New Roman" w:hAnsi="Times New Roman"/>
          <w:color w:val="000000"/>
          <w:sz w:val="24"/>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Investment Company</w:t>
      </w:r>
      <w:r>
        <w:rPr>
          <w:rFonts w:ascii="Times New Roman" w:hAnsi="Times New Roman"/>
          <w:color w:val="000000"/>
          <w:sz w:val="24"/>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Registration Rights</w:t>
      </w:r>
      <w:r>
        <w:rPr>
          <w:rFonts w:ascii="Times New Roman" w:hAnsi="Times New Roman"/>
          <w:color w:val="000000"/>
          <w:sz w:val="24"/>
        </w:rPr>
        <w:t>. No Person has any right to cause the Company or any Subsidiary to effect the registration under the Securities Act of any securities of the Company or any Subsidiary.</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Listing and Maintenance Requirements</w:t>
      </w:r>
      <w:r>
        <w:rPr>
          <w:rFonts w:ascii="Times New Roman" w:hAnsi="Times New Roman"/>
          <w:color w:val="000000"/>
          <w:sz w:val="24"/>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is in compliance with the applicable continued listing requirements of each Trading Market on which the Common Stock is currently listed or quoted, and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Application of Takeover Protections</w:t>
      </w:r>
      <w:r>
        <w:rPr>
          <w:rFonts w:ascii="Times New Roman" w:hAnsi="Times New Roman"/>
          <w:color w:val="000000"/>
          <w:sz w:val="24"/>
        </w:rPr>
        <w:t>. The Company and the Board of Directors have taken all necessary action, if any, in order to render inapplicable any control share acquisition, business combination, poison pill (including any distribution under a rights agreement) or other similar anti</w:t>
        <w:noBreakHyphen/>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u w:val="single"/>
        </w:rPr>
        <w:t>Disclosure</w:t>
      </w:r>
      <w:r>
        <w:rPr>
          <w:rFonts w:ascii="Times New Roman" w:hAnsi="Times New Roman"/>
          <w:color w:val="000000"/>
          <w:sz w:val="24"/>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u w:val="single"/>
        </w:rPr>
        <w:t>No Integrated Offering</w:t>
      </w:r>
      <w:r>
        <w:rPr>
          <w:rFonts w:ascii="Times New Roman" w:hAnsi="Times New Roman"/>
          <w:color w:val="000000"/>
          <w:sz w:val="24"/>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hAnsi="Times New Roman"/>
          <w:color w:val="000000"/>
          <w:sz w:val="24"/>
          <w:u w:val="single"/>
        </w:rPr>
        <w:t>Schedule 3.1(aa)</w:t>
      </w:r>
      <w:r>
        <w:rPr>
          <w:color w:val="000000"/>
        </w:rPr>
        <w:t xml:space="preserve"> </w:t>
      </w:r>
      <w:r>
        <w:rPr>
          <w:rFonts w:ascii="Times New Roman" w:hAnsi="Times New Roman"/>
          <w:color w:val="000000"/>
          <w:sz w:val="24"/>
        </w:rPr>
        <w:t>sets forth as of the date hereof all outstanding secured and unsecured Indebtedness of the Company or any Subsidiary, or for which the Company or any Subsidiary has commitments. For the purposes of this Agreement, “</w:t>
      </w:r>
      <w:r>
        <w:rPr>
          <w:rFonts w:ascii="Times New Roman" w:hAnsi="Times New Roman"/>
          <w:color w:val="000000"/>
          <w:sz w:val="24"/>
          <w:u w:val="single"/>
        </w:rPr>
        <w:t>Indebtedness</w:t>
      </w:r>
      <w:r>
        <w:rPr>
          <w:color w:val="000000"/>
        </w:rPr>
        <w:t xml:space="preserve">” </w:t>
      </w:r>
      <w:r>
        <w:rPr>
          <w:rFonts w:ascii="Times New Roman" w:hAnsi="Times New Roman"/>
          <w:color w:val="000000"/>
          <w:sz w:val="24"/>
        </w:rPr>
        <w:t>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u w:val="single"/>
        </w:rPr>
        <w:t>Tax Status</w:t>
      </w:r>
      <w:r>
        <w:rPr>
          <w:rFonts w:ascii="Times New Roman" w:hAnsi="Times New Roman"/>
          <w:color w:val="000000"/>
          <w:sz w:val="24"/>
        </w:rPr>
        <w:t xml:space="preserve">.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rFonts w:ascii="Times New Roman" w:hAnsi="Times New Roman"/>
          <w:color w:val="000000"/>
          <w:sz w:val="24"/>
          <w:u w:val="single"/>
        </w:rPr>
        <w:t>Foreign Corrupt Practices</w:t>
      </w:r>
      <w:r>
        <w:rPr>
          <w:rFonts w:ascii="Times New Roman" w:hAnsi="Times New Roman"/>
          <w:color w:val="000000"/>
          <w:sz w:val="24"/>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rFonts w:ascii="Times New Roman" w:hAnsi="Times New Roman"/>
          <w:color w:val="000000"/>
          <w:sz w:val="24"/>
          <w:u w:val="single"/>
        </w:rPr>
        <w:t>Accountants</w:t>
      </w:r>
      <w:r>
        <w:rPr>
          <w:rFonts w:ascii="Times New Roman" w:hAnsi="Times New Roman"/>
          <w:color w:val="000000"/>
          <w:sz w:val="24"/>
        </w:rPr>
        <w:t xml:space="preserve">. The Company’s accounting firm is set forth on </w:t>
      </w:r>
      <w:r>
        <w:rPr>
          <w:rFonts w:ascii="Times New Roman" w:hAnsi="Times New Roman"/>
          <w:color w:val="000000"/>
          <w:sz w:val="24"/>
          <w:u w:val="single"/>
        </w:rPr>
        <w:t>Schedule 3.1(dd)</w:t>
      </w:r>
      <w:r>
        <w:rPr>
          <w:color w:val="000000"/>
        </w:rPr>
        <w:t xml:space="preserve"> </w:t>
      </w:r>
      <w:r>
        <w:rPr>
          <w:rFonts w:ascii="Times New Roman" w:hAnsi="Times New Roman"/>
          <w:color w:val="000000"/>
          <w:sz w:val="24"/>
        </w:rPr>
        <w:t xml:space="preserve">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rFonts w:ascii="Times New Roman" w:hAnsi="Times New Roman"/>
          <w:color w:val="000000"/>
          <w:sz w:val="24"/>
          <w:u w:val="single"/>
        </w:rPr>
        <w:t>Acknowledgment Regarding Purchasers’ Purchase of Securities</w:t>
      </w:r>
      <w:r>
        <w:rPr>
          <w:rFonts w:ascii="Times New Roman" w:hAnsi="Times New Roman"/>
          <w:color w:val="000000"/>
          <w:sz w:val="24"/>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rFonts w:ascii="Times New Roman" w:hAnsi="Times New Roman"/>
          <w:color w:val="000000"/>
          <w:sz w:val="24"/>
          <w:u w:val="single"/>
        </w:rPr>
        <w:t>Acknowledgment Regarding Purchaser’s Trading Activity</w:t>
      </w:r>
      <w:r>
        <w:rPr>
          <w:rFonts w:ascii="Times New Roman" w:hAnsi="Times New Roman"/>
          <w:color w:val="000000"/>
          <w:sz w:val="24"/>
        </w:rPr>
        <w:t xml:space="preserve">.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transaction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rFonts w:ascii="Times New Roman" w:hAnsi="Times New Roman"/>
          <w:color w:val="000000"/>
          <w:sz w:val="24"/>
          <w:u w:val="single"/>
        </w:rPr>
        <w:t>Regulation M Compliance</w:t>
      </w:r>
      <w:r>
        <w:rPr>
          <w:rFonts w:ascii="Times New Roman" w:hAnsi="Times New Roman"/>
          <w:color w:val="000000"/>
          <w:sz w:val="24"/>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rFonts w:ascii="Times New Roman" w:hAnsi="Times New Roman"/>
          <w:color w:val="000000"/>
          <w:sz w:val="24"/>
          <w:u w:val="single"/>
        </w:rPr>
        <w:t>FDA</w:t>
      </w:r>
      <w:r>
        <w:rPr>
          <w:rFonts w:ascii="Times New Roman" w:hAnsi="Times New Roman"/>
          <w:color w:val="000000"/>
          <w:sz w:val="24"/>
        </w:rPr>
        <w:t>. As to each product subject to the jurisdiction of the U.S. Food and Drug Administration (“</w:t>
      </w:r>
      <w:r>
        <w:rPr>
          <w:rFonts w:ascii="Times New Roman" w:hAnsi="Times New Roman"/>
          <w:color w:val="000000"/>
          <w:sz w:val="24"/>
          <w:u w:val="single"/>
        </w:rPr>
        <w:t>FDA</w:t>
      </w:r>
      <w:r>
        <w:rPr>
          <w:color w:val="000000"/>
        </w:rPr>
        <w:t>”</w:t>
      </w:r>
      <w:r>
        <w:rPr>
          <w:rFonts w:ascii="Times New Roman" w:hAnsi="Times New Roman"/>
          <w:color w:val="000000"/>
          <w:sz w:val="24"/>
        </w:rPr>
        <w:t>) under the Federal Food, Drug and Cosmetic Act, as amended, and the regulations thereunder (“</w:t>
      </w:r>
      <w:r>
        <w:rPr>
          <w:rFonts w:ascii="Times New Roman" w:hAnsi="Times New Roman"/>
          <w:color w:val="000000"/>
          <w:sz w:val="24"/>
          <w:u w:val="single"/>
        </w:rPr>
        <w:t>FDCA</w:t>
      </w:r>
      <w:r>
        <w:rPr>
          <w:color w:val="000000"/>
        </w:rPr>
        <w:t>”</w:t>
      </w:r>
      <w:r>
        <w:rPr>
          <w:rFonts w:ascii="Times New Roman" w:hAnsi="Times New Roman"/>
          <w:color w:val="000000"/>
          <w:sz w:val="24"/>
        </w:rPr>
        <w:t>) that is manufactured, packaged, labeled, tested, distributed, sold, and/or marketed by the Company or any of its Subsidiaries (each such product, a “</w:t>
      </w:r>
      <w:r>
        <w:rPr>
          <w:rFonts w:ascii="Times New Roman" w:hAnsi="Times New Roman"/>
          <w:color w:val="000000"/>
          <w:sz w:val="24"/>
          <w:u w:val="single"/>
        </w:rPr>
        <w:t>Pharmaceutical Product</w:t>
      </w:r>
      <w:r>
        <w:rPr>
          <w:color w:val="000000"/>
        </w:rPr>
        <w:t>”</w:t>
      </w:r>
      <w:r>
        <w:rPr>
          <w:rFonts w:ascii="Times New Roman" w:hAnsi="Times New Roman"/>
          <w:color w:val="000000"/>
          <w:sz w:val="24"/>
        </w:rPr>
        <w:t xml:space="preserve">),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pPr>
      <w:r>
        <w:rPr>
          <w:rFonts w:ascii="Times New Roman" w:hAnsi="Times New Roman"/>
          <w:color w:val="000000"/>
          <w:sz w:val="24"/>
          <w:u w:val="single"/>
        </w:rPr>
        <w:t>Stock Option Plans</w:t>
      </w:r>
      <w:r>
        <w:rPr>
          <w:rFonts w:ascii="Times New Roman" w:hAnsi="Times New Roman"/>
          <w:color w:val="000000"/>
          <w:sz w:val="24"/>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4"/>
          <w:u w:val="single"/>
        </w:rPr>
        <w:t>IT Systems and Data</w:t>
      </w:r>
      <w:r>
        <w:rPr>
          <w:color w:val="000000"/>
        </w:rPr>
        <w:t>”</w:t>
      </w:r>
      <w:r>
        <w:rPr>
          <w:rFonts w:ascii="Times New Roman" w:hAnsi="Times New Roman"/>
          <w:color w:val="000000"/>
          <w:sz w:val="24"/>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rFonts w:ascii="Times New Roman" w:hAnsi="Times New Roman"/>
          <w:color w:val="000000"/>
          <w:sz w:val="24"/>
          <w:u w:val="single"/>
        </w:rPr>
        <w:t>Compliance with Data Privacy Laws</w:t>
      </w:r>
      <w:r>
        <w:rPr>
          <w:rFonts w:ascii="Times New Roman" w:hAnsi="Times New Roman"/>
          <w:color w:val="000000"/>
          <w:sz w:val="24"/>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hAnsi="Times New Roman"/>
          <w:color w:val="000000"/>
          <w:sz w:val="24"/>
          <w:u w:val="single"/>
        </w:rPr>
        <w:t>GDPR</w:t>
      </w:r>
      <w:r>
        <w:rPr>
          <w:color w:val="000000"/>
        </w:rPr>
        <w:t>”</w:t>
      </w:r>
      <w:r>
        <w:rPr>
          <w:rFonts w:ascii="Times New Roman" w:hAnsi="Times New Roman"/>
          <w:color w:val="000000"/>
          <w:sz w:val="24"/>
        </w:rPr>
        <w:t>) (EU 2016/679) (collectively, “</w:t>
      </w:r>
      <w:r>
        <w:rPr>
          <w:rFonts w:ascii="Times New Roman" w:hAnsi="Times New Roman"/>
          <w:color w:val="000000"/>
          <w:sz w:val="24"/>
          <w:u w:val="single"/>
        </w:rPr>
        <w:t>Privacy Laws</w:t>
      </w:r>
      <w:r>
        <w:rPr>
          <w:color w:val="000000"/>
        </w:rPr>
        <w:t>”</w:t>
      </w:r>
      <w:r>
        <w:rPr>
          <w:rFonts w:ascii="Times New Roman" w:hAnsi="Times New Roman"/>
          <w:color w:val="000000"/>
          <w:sz w:val="24"/>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hAnsi="Times New Roman"/>
          <w:color w:val="000000"/>
          <w:sz w:val="24"/>
          <w:u w:val="single"/>
        </w:rPr>
        <w:t>Policies</w:t>
      </w:r>
      <w:r>
        <w:rPr>
          <w:color w:val="000000"/>
        </w:rPr>
        <w:t>”</w:t>
      </w:r>
      <w:r>
        <w:rPr>
          <w:rFonts w:ascii="Times New Roman" w:hAnsi="Times New Roman"/>
          <w:color w:val="000000"/>
          <w:sz w:val="24"/>
        </w:rPr>
        <w:t xml:space="preserve">); (iii) the Company provides accurate notice of its applicable Policies to its customers, employees, third party vendors and representatives as required by the Privacy </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hAnsi="Times New Roman"/>
          <w:color w:val="000000"/>
          <w:sz w:val="24"/>
          <w:u w:val="single"/>
        </w:rPr>
        <w:t>Personal Data</w:t>
      </w:r>
      <w:r>
        <w:rPr>
          <w:color w:val="000000"/>
        </w:rPr>
        <w:t xml:space="preserve">” </w:t>
      </w:r>
      <w:r>
        <w:rPr>
          <w:rFonts w:ascii="Times New Roman" w:hAnsi="Times New Roman"/>
          <w:color w:val="000000"/>
          <w:sz w:val="24"/>
        </w:rPr>
        <w:t>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pPr>
      <w:r>
        <w:rPr>
          <w:rFonts w:ascii="Times New Roman" w:hAnsi="Times New Roman"/>
          <w:color w:val="000000"/>
          <w:sz w:val="24"/>
          <w:u w:val="single"/>
        </w:rPr>
        <w:t>Office of Foreign Assets Control</w:t>
      </w:r>
      <w:r>
        <w:rPr>
          <w:rFonts w:ascii="Times New Roman" w:hAnsi="Times New Roman"/>
          <w:color w:val="000000"/>
          <w:sz w:val="24"/>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color w:val="000000"/>
          <w:sz w:val="24"/>
          <w:u w:val="single"/>
        </w:rPr>
        <w:t>OFAC</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pPr>
      <w:r>
        <w:rPr>
          <w:rFonts w:ascii="Times New Roman" w:hAnsi="Times New Roman"/>
          <w:color w:val="000000"/>
          <w:sz w:val="24"/>
          <w:u w:val="single"/>
        </w:rPr>
        <w:t>U.S. Real Property Holding Corporation</w:t>
      </w:r>
      <w:r>
        <w:rPr>
          <w:rFonts w:ascii="Times New Roman" w:hAnsi="Times New Roman"/>
          <w:color w:val="000000"/>
          <w:sz w:val="24"/>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pPr>
      <w:r>
        <w:rPr>
          <w:rFonts w:ascii="Times New Roman" w:hAnsi="Times New Roman"/>
          <w:color w:val="000000"/>
          <w:sz w:val="24"/>
          <w:u w:val="single"/>
        </w:rPr>
        <w:t>Bank Holding Company Act</w:t>
      </w:r>
      <w:r>
        <w:rPr>
          <w:rFonts w:ascii="Times New Roman" w:hAnsi="Times New Roman"/>
          <w:color w:val="000000"/>
          <w:sz w:val="24"/>
        </w:rPr>
        <w:t>. Neither the Company nor any of its Subsidiaries or Affiliates is subject to the Bank Holding Company Act of 1956, as amended (the “</w:t>
      </w:r>
      <w:r>
        <w:rPr>
          <w:rFonts w:ascii="Times New Roman" w:hAnsi="Times New Roman"/>
          <w:color w:val="000000"/>
          <w:sz w:val="24"/>
          <w:u w:val="single"/>
        </w:rPr>
        <w:t>BHCA</w:t>
      </w:r>
      <w:r>
        <w:rPr>
          <w:color w:val="000000"/>
        </w:rPr>
        <w:t>”</w:t>
      </w:r>
      <w:r>
        <w:rPr>
          <w:rFonts w:ascii="Times New Roman" w:hAnsi="Times New Roman"/>
          <w:color w:val="000000"/>
          <w:sz w:val="24"/>
        </w:rPr>
        <w:t>) and to regulation by the Board of Governors of the Federal Reserve System (the “</w:t>
      </w:r>
      <w:r>
        <w:rPr>
          <w:rFonts w:ascii="Times New Roman" w:hAnsi="Times New Roman"/>
          <w:color w:val="000000"/>
          <w:sz w:val="24"/>
          <w:u w:val="single"/>
        </w:rPr>
        <w:t>Federal Reserve</w:t>
      </w:r>
      <w:r>
        <w:rPr>
          <w:color w:val="000000"/>
        </w:rPr>
        <w:t>”</w:t>
      </w:r>
      <w:r>
        <w:rPr>
          <w:rFonts w:ascii="Times New Roman" w:hAnsi="Times New Roman"/>
          <w:color w:val="000000"/>
          <w:sz w:val="24"/>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rFonts w:ascii="Times New Roman" w:hAnsi="Times New Roman"/>
          <w:color w:val="000000"/>
          <w:sz w:val="24"/>
          <w:u w:val="single"/>
        </w:rPr>
        <w:t>Money Laundering</w:t>
      </w:r>
      <w:r>
        <w:rPr>
          <w:rFonts w:ascii="Times New Roman" w:hAnsi="Times New Roman"/>
          <w:color w:val="000000"/>
          <w:sz w:val="24"/>
        </w:rPr>
        <w:t xml:space="preserve">.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regulations thereunder (collectively, the “</w:t>
      </w:r>
      <w:r>
        <w:rPr>
          <w:rFonts w:ascii="Times New Roman" w:hAnsi="Times New Roman"/>
          <w:color w:val="000000"/>
          <w:sz w:val="24"/>
          <w:u w:val="single"/>
        </w:rPr>
        <w:t>Money Laundering Laws</w:t>
      </w:r>
      <w:r>
        <w:rPr>
          <w:color w:val="000000"/>
        </w:rPr>
        <w:t>”</w:t>
      </w:r>
      <w:r>
        <w:rPr>
          <w:rFonts w:ascii="Times New Roman" w:hAnsi="Times New Roman"/>
          <w:color w:val="000000"/>
          <w:sz w:val="24"/>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color w:val="000000"/>
          <w:sz w:val="24"/>
          <w:u w:val="single"/>
        </w:rPr>
        <w:t>Representations and Warranties of the Purchasers</w:t>
      </w:r>
      <w:r>
        <w:rPr>
          <w:rFonts w:ascii="Times New Roman" w:hAnsi="Times New Roman"/>
          <w:color w:val="000000"/>
          <w:sz w:val="24"/>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Authority</w:t>
      </w:r>
      <w:r>
        <w:rPr>
          <w:rFonts w:ascii="Times New Roman" w:hAnsi="Times New Roman"/>
          <w:color w:val="000000"/>
          <w:sz w:val="24"/>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Understandings or Arrangements</w:t>
      </w:r>
      <w:r>
        <w:rPr>
          <w:rFonts w:ascii="Times New Roman" w:hAnsi="Times New Roman"/>
          <w:color w:val="000000"/>
          <w:sz w:val="24"/>
        </w:rPr>
        <w:t xml:space="preserve">. Such Purchaser is acquiring the Securities as principal for its own account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Purchaser Status</w:t>
      </w:r>
      <w:r>
        <w:rPr>
          <w:rFonts w:ascii="Times New Roman" w:hAnsi="Times New Roman"/>
          <w:color w:val="000000"/>
          <w:sz w:val="24"/>
        </w:rPr>
        <w:t xml:space="preserve">. At the time such Purchaser was offered the Securities, it was, and as of the date hereof it is, and on each date on which it exercises any Warrants, it will be an “accredited investor” as defined in Rule 501(a)(1), (a)(2), (a)(3), (a)(7), (a)(8), (a)(9), (a)(12) or (a)(13) under the Securities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Experience of Such Purchaser</w:t>
      </w:r>
      <w:r>
        <w:rPr>
          <w:rFonts w:ascii="Times New Roman" w:hAnsi="Times New Roman"/>
          <w:color w:val="000000"/>
          <w:sz w:val="24"/>
        </w:rPr>
        <w:t xml:space="preserve">.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Purchaser is able to bear the economic risk of an investment in the Securities and, at the present time, is able to afford a complete loss of such investment.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Access to Information</w:t>
      </w:r>
      <w:r>
        <w:rPr>
          <w:rFonts w:ascii="Times New Roman" w:hAnsi="Times New Roman"/>
          <w:color w:val="000000"/>
          <w:sz w:val="24"/>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both"/>
        <w:rPr>
          <w:rFonts w:ascii="Times New Roman" w:hAnsi="Times New Roman"/>
          <w:sz w:val="20"/>
        </w:rPr>
      </w:pPr>
      <w:r>
        <w:rPr>
          <w:rFonts w:ascii="Times New Roman" w:hAnsi="Times New Roman"/>
          <w:color w:val="000000"/>
          <w:sz w:val="24"/>
        </w:rPr>
        <w:t>The Company acknowledges and agrees that the representations contained in this Section 3.2 shall not modify, amend or affect such Purchaser’s right to rely on the Company’s representations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t>OTHER AGREEMENTS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color w:val="000000"/>
          <w:sz w:val="24"/>
          <w:u w:val="single"/>
        </w:rPr>
        <w:t>Warrant Shares</w:t>
      </w:r>
      <w:r>
        <w:rPr>
          <w:rFonts w:ascii="Times New Roman" w:hAnsi="Times New Roman"/>
          <w:color w:val="000000"/>
          <w:sz w:val="24"/>
        </w:rPr>
        <w:t>. The Shares shall be issued free of legends.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color w:val="000000"/>
          <w:sz w:val="24"/>
          <w:u w:val="single"/>
        </w:rPr>
        <w:t>Furnishing of Information</w:t>
      </w:r>
      <w:r>
        <w:rPr>
          <w:rFonts w:ascii="Times New Roman" w:hAnsi="Times New Roman"/>
          <w:color w:val="000000"/>
          <w:sz w:val="24"/>
        </w:rPr>
        <w:t>.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xml:space="preserve">.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color w:val="000000"/>
          <w:sz w:val="24"/>
          <w:u w:val="single"/>
        </w:rPr>
        <w:t>Securities Laws Disclosure; Publicity</w:t>
      </w:r>
      <w:r>
        <w:rPr>
          <w:rFonts w:ascii="Times New Roman" w:hAnsi="Times New Roman"/>
          <w:color w:val="000000"/>
          <w:sz w:val="24"/>
        </w:rPr>
        <w:t xml:space="preserve">.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color w:val="000000"/>
          <w:sz w:val="24"/>
          <w:u w:val="single"/>
        </w:rPr>
        <w:t>Shareholder Rights Plan</w:t>
      </w:r>
      <w:r>
        <w:rPr>
          <w:rFonts w:ascii="Times New Roman" w:hAnsi="Times New Roman"/>
          <w:color w:val="000000"/>
          <w:sz w:val="24"/>
        </w:rPr>
        <w:t>. No claim will be made or enforced by the Company or, with the consent of the Company, any other Person, that any Purchaser is an “</w:t>
      </w:r>
      <w:r>
        <w:rPr>
          <w:rFonts w:ascii="Times New Roman" w:hAnsi="Times New Roman"/>
          <w:color w:val="000000"/>
          <w:sz w:val="24"/>
          <w:u w:val="single"/>
        </w:rPr>
        <w:t>Acquiring Person</w:t>
      </w:r>
      <w:r>
        <w:rPr>
          <w:color w:val="000000"/>
        </w:rPr>
        <w:t xml:space="preserve">” </w:t>
      </w:r>
      <w:r>
        <w:rPr>
          <w:rFonts w:ascii="Times New Roman" w:hAnsi="Times New Roman"/>
          <w:color w:val="000000"/>
          <w:sz w:val="24"/>
        </w:rPr>
        <w:t>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rFonts w:ascii="Times New Roman" w:hAnsi="Times New Roman"/>
          <w:color w:val="000000"/>
          <w:sz w:val="24"/>
          <w:u w:val="single"/>
        </w:rPr>
        <w:t>Non-Public Information</w:t>
      </w:r>
      <w:r>
        <w:rPr>
          <w:rFonts w:ascii="Times New Roman" w:hAnsi="Times New Roman"/>
          <w:color w:val="000000"/>
          <w:sz w:val="24"/>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xml:space="preserve">. Except as set forth on </w:t>
      </w:r>
      <w:r>
        <w:rPr>
          <w:rFonts w:ascii="Times New Roman" w:hAnsi="Times New Roman"/>
          <w:color w:val="000000"/>
          <w:sz w:val="24"/>
          <w:u w:val="single"/>
        </w:rPr>
        <w:t>Schedule 4.7</w:t>
      </w:r>
      <w:r>
        <w:rPr>
          <w:color w:val="000000"/>
        </w:rPr>
        <w:t xml:space="preserve"> </w:t>
      </w:r>
      <w:r>
        <w:rPr>
          <w:rFonts w:ascii="Times New Roman" w:hAnsi="Times New Roman"/>
          <w:color w:val="000000"/>
          <w:sz w:val="24"/>
        </w:rPr>
        <w:t>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or (c) in violation of FCPA or OFAC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Indemnification of Purchasers</w:t>
      </w:r>
      <w:r>
        <w:rPr>
          <w:rFonts w:ascii="Times New Roman" w:hAnsi="Times New Roman"/>
          <w:color w:val="000000"/>
          <w:sz w:val="24"/>
        </w:rPr>
        <w:t xml:space="preserve">. </w:t>
      </w:r>
      <w:bookmarkStart w:id="12" w:name="ole_link1"/>
      <w:bookmarkEnd w:id="12"/>
      <w:r>
        <w:rPr>
          <w:rFonts w:ascii="Times New Roman" w:hAnsi="Times New Roman"/>
          <w:color w:val="000000"/>
          <w:sz w:val="24"/>
        </w:rPr>
        <w:t xml:space="preserve">Subject to the provisions of this Section 4.8, the Company will indemnify, to the fullest extent permitted by applicable law,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members, partners, investment managers, employees or agents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and (c) in connection with any registration statement of the Company providing for the resale by the Purchasers of the Warrant Shares issued and issuable upon exercise of the Warrants,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therein, or (ii) any violation or alleged violation by the Company of the Securities Act, the Exchange Act or any applicable state or non-U.S.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reasonably acceptable to the Purchaser Party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such Purchaser Party’s representations, warranties or covenants under the Transaction Documents, as determined by a final, non-appealable judgment of a court of competent jurisdiction. The Company shall not, without the prior written consent of the Purchaser Party, effect any settlement of any pending or threatened action or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Purchaser Party.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both"/>
        <w:rPr/>
      </w:pPr>
      <w:r>
        <w:rPr>
          <w:rFonts w:ascii="Times New Roman" w:hAnsi="Times New Roman"/>
          <w:color w:val="000000"/>
          <w:sz w:val="24"/>
          <w:u w:val="single"/>
        </w:rPr>
        <w:t>Reservation of Common Stock</w:t>
      </w:r>
      <w:r>
        <w:rPr>
          <w:rFonts w:ascii="Times New Roman" w:hAnsi="Times New Roman"/>
          <w:color w:val="000000"/>
          <w:sz w:val="24"/>
        </w:rPr>
        <w:t>. As of the date hereof, the Company has reserved and the Company shall continue to reserve and keep available at all times, free of preemptive rights, a sufficient number of shares of Common Stock for the purpose of enabling the Company to issue Shares and Pre-Funded Warrants pursuant to this Agreement and, at or prior to the Authorized Share Increase Date, Common Warrant Shares pursuant to any exercise of the Common Warrants.</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4.10</w:t>
      </w:r>
    </w:p>
    <w:p>
      <w:pPr>
        <w:pStyle w:val="TextBody"/>
        <w:bidi w:val="0"/>
        <w:spacing w:before="0" w:after="240"/>
        <w:jc w:val="both"/>
        <w:rPr/>
      </w:pPr>
      <w:r>
        <w:rPr>
          <w:rFonts w:ascii="Times New Roman" w:hAnsi="Times New Roman"/>
          <w:color w:val="000000"/>
          <w:sz w:val="24"/>
          <w:u w:val="single"/>
        </w:rPr>
        <w:t>Listing of Common Stock</w:t>
      </w:r>
      <w:r>
        <w:rPr>
          <w:rFonts w:ascii="Times New Roman" w:hAnsi="Times New Roman"/>
          <w:color w:val="000000"/>
          <w:sz w:val="24"/>
        </w:rPr>
        <w:t xml:space="preserve">. The Company hereby agrees to use reasonable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w:t>
      </w:r>
    </w:p>
    <w:p>
      <w:pPr>
        <w:pStyle w:val="TextBody"/>
        <w:bidi w:val="0"/>
        <w:jc w:val="left"/>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(i) file a proxy statement (the “</w:t>
      </w:r>
      <w:r>
        <w:rPr>
          <w:rFonts w:ascii="Times New Roman" w:hAnsi="Times New Roman"/>
          <w:color w:val="000000"/>
          <w:sz w:val="24"/>
          <w:u w:val="single"/>
        </w:rPr>
        <w:t>Proxy Statement</w:t>
      </w:r>
      <w:r>
        <w:rPr>
          <w:color w:val="000000"/>
        </w:rPr>
        <w:t>”</w:t>
      </w:r>
      <w:r>
        <w:rPr>
          <w:rFonts w:ascii="Times New Roman" w:hAnsi="Times New Roman"/>
          <w:color w:val="000000"/>
          <w:sz w:val="24"/>
        </w:rPr>
        <w:t>), no later than forty-five (45) days following the Closing Date, with respect to an annual or special meeting to stockholders for the purpose of obtaining Authorized Share Approval, (ii) file the definitive Proxy Statement with respect to such stockholder meeting promptly after the Securities and Exchange Commission completes its review, if any, of the Proxy Statement, and cause such definitive Proxy Statement to be mailed to holders of the Common Stock as promptly as reasonably practicable after the definitive Proxy Statement has been filed, (iii) following the commencement of the mailing of the Proxy Statement duly call, give notice of, convene and hold such stockholder meeting, with the recommendation of the Board of Directors that such proposals are approved, and (iv) procure that all management-appointed proxyholders shall vote their proxies in favor of such proposals. The Company shall use its reasonable best efforts to hold such stockholder meeting as soon as reasonably practicable after the Securities and Exchange Commission completes its review, if any, of the Proxy Statement and shall not, without the prior written consent of the Purchasers (such consent not to be unreasonably withheld, conditioned or delayed), adjourn, postpone or otherwise delay such stockholder meeting. If the Company does not obtain Authorized Share Approval at the first meeting, the Company shall call a meeting every sixty (60) days thereafter to seek Authorized Share Approval until the earlier of the date on which Authorized Share Approval is obtained or the Common Warrants are no longer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both"/>
        <w:rPr/>
      </w:pPr>
      <w:r>
        <w:rPr>
          <w:rFonts w:ascii="Times New Roman" w:hAnsi="Times New Roman"/>
          <w:color w:val="000000"/>
          <w:sz w:val="24"/>
          <w:u w:val="single"/>
        </w:rPr>
        <w:t>Subsequent Equity Sales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other than the Prospectus Supplement or filing a registration statement on Form S-8 in connection with any employee benefit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From the date hereof until ninety (90)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w:t>
      </w:r>
    </w:p>
    <w:p>
      <w:pPr>
        <w:pStyle w:val="TextBody"/>
        <w:bidi w:val="0"/>
        <w:jc w:val="left"/>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this Section 4.11 shall not apply in respect of an Exempt Issuance, except that no Variable Rate Transaction shall be an Exempt Issuance..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4.12</w:t>
      </w:r>
    </w:p>
    <w:p>
      <w:pPr>
        <w:pStyle w:val="TextBody"/>
        <w:bidi w:val="0"/>
        <w:spacing w:before="0" w:after="240"/>
        <w:jc w:val="both"/>
        <w:rPr/>
      </w:pPr>
      <w:r>
        <w:rPr>
          <w:rFonts w:ascii="Times New Roman" w:hAnsi="Times New Roman"/>
          <w:color w:val="000000"/>
          <w:sz w:val="24"/>
          <w:u w:val="single"/>
        </w:rPr>
        <w:t>Equal Treatment of Purchasers</w:t>
      </w:r>
      <w:r>
        <w:rPr>
          <w:rFonts w:ascii="Times New Roman" w:hAnsi="Times New Roman"/>
          <w:color w:val="000000"/>
          <w:sz w:val="24"/>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4.13</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w:t>
      </w:r>
    </w:p>
    <w:p>
      <w:pPr>
        <w:pStyle w:val="TextBody"/>
        <w:bidi w:val="0"/>
        <w:jc w:val="left"/>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4.14</w:t>
      </w:r>
    </w:p>
    <w:p>
      <w:pPr>
        <w:pStyle w:val="TextBody"/>
        <w:bidi w:val="0"/>
        <w:spacing w:before="0" w:after="240"/>
        <w:jc w:val="both"/>
        <w:rPr/>
      </w:pPr>
      <w:r>
        <w:rPr>
          <w:rFonts w:ascii="Times New Roman" w:hAnsi="Times New Roman"/>
          <w:color w:val="000000"/>
          <w:sz w:val="24"/>
          <w:u w:val="single"/>
        </w:rPr>
        <w:t>Exercise Procedures</w:t>
      </w:r>
      <w:r>
        <w:rPr>
          <w:rFonts w:ascii="Times New Roman" w:hAnsi="Times New Roman"/>
          <w:color w:val="000000"/>
          <w:sz w:val="24"/>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4.15</w:t>
      </w:r>
    </w:p>
    <w:p>
      <w:pPr>
        <w:pStyle w:val="TextBody"/>
        <w:bidi w:val="0"/>
        <w:spacing w:before="0" w:after="240"/>
        <w:jc w:val="both"/>
        <w:rPr/>
      </w:pPr>
      <w:r>
        <w:rPr>
          <w:rFonts w:ascii="Times New Roman" w:hAnsi="Times New Roman"/>
          <w:color w:val="000000"/>
          <w:sz w:val="24"/>
          <w:u w:val="single"/>
        </w:rPr>
        <w:t>Lock-Up Agreements</w:t>
      </w:r>
      <w:r>
        <w:rPr>
          <w:rFonts w:ascii="Times New Roman" w:hAnsi="Times New Roman"/>
          <w:color w:val="000000"/>
          <w:sz w:val="24"/>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hAnsi="Times New Roman"/>
          <w:color w:val="000000"/>
          <w:sz w:val="16"/>
        </w:rPr>
        <w:t>th</w:t>
      </w:r>
      <w:r>
        <w:rPr>
          <w:rFonts w:ascii="Times New Roman" w:hAnsi="Times New Roman"/>
          <w:color w:val="000000"/>
          <w:sz w:val="24"/>
        </w:rPr>
        <w:t xml:space="preserve">) Trading Day following the date 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termination will affect the right of any party to sue for any breach by any other party (or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jc w:val="left"/>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hAnsi="Times New Roman"/>
          <w:color w:val="000000"/>
          <w:sz w:val="16"/>
        </w:rPr>
        <w:t>nd</w:t>
      </w:r>
      <w:r>
        <w:rPr>
          <w:rFonts w:ascii="Times New Roman" w:hAnsi="Times New Roman"/>
          <w:color w:val="000000"/>
          <w:sz w:val="24"/>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both"/>
        <w:rPr/>
      </w:pPr>
      <w:r>
        <w:rPr>
          <w:rFonts w:ascii="Times New Roman" w:hAnsi="Times New Roman"/>
          <w:color w:val="000000"/>
          <w:sz w:val="24"/>
          <w:u w:val="single"/>
        </w:rPr>
        <w:t>No Third-Party Beneficiaries</w:t>
      </w:r>
      <w:r>
        <w:rPr>
          <w:rFonts w:ascii="Times New Roman" w:hAnsi="Times New Roman"/>
          <w:color w:val="000000"/>
          <w:sz w:val="24"/>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jc w:val="left"/>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5.10</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The representations and warranties contained herein shall survive the Closing and the delivery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5.11</w:t>
      </w:r>
    </w:p>
    <w:p>
      <w:pPr>
        <w:pStyle w:val="TextBody"/>
        <w:bidi w:val="0"/>
        <w:spacing w:before="0" w:after="240"/>
        <w:jc w:val="both"/>
        <w:rPr/>
      </w:pPr>
      <w:r>
        <w:rPr>
          <w:rFonts w:ascii="Times New Roman" w:hAnsi="Times New Roman"/>
          <w:color w:val="000000"/>
          <w:sz w:val="24"/>
          <w:u w:val="single"/>
        </w:rPr>
        <w:t>Execution</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5.12</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jc w:val="left"/>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5.13</w:t>
      </w:r>
    </w:p>
    <w:p>
      <w:pPr>
        <w:pStyle w:val="TextBody"/>
        <w:bidi w:val="0"/>
        <w:spacing w:before="0" w:after="240"/>
        <w:jc w:val="both"/>
        <w:rPr/>
      </w:pPr>
      <w:r>
        <w:rPr>
          <w:rFonts w:ascii="Times New Roman" w:hAnsi="Times New Roman"/>
          <w:color w:val="000000"/>
          <w:sz w:val="24"/>
          <w:u w:val="single"/>
        </w:rPr>
        <w:t>Rescission and Withdrawal Right</w:t>
      </w:r>
      <w:r>
        <w:rPr>
          <w:rFonts w:ascii="Times New Roman" w:hAnsi="Times New Roman"/>
          <w:color w:val="000000"/>
          <w:sz w:val="24"/>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5.14</w:t>
      </w:r>
    </w:p>
    <w:p>
      <w:pPr>
        <w:pStyle w:val="TextBody"/>
        <w:bidi w:val="0"/>
        <w:spacing w:before="0" w:after="240"/>
        <w:jc w:val="both"/>
        <w:rPr/>
      </w:pPr>
      <w:r>
        <w:rPr>
          <w:rFonts w:ascii="Times New Roman" w:hAnsi="Times New Roman"/>
          <w:color w:val="000000"/>
          <w:sz w:val="24"/>
          <w:u w:val="single"/>
        </w:rPr>
        <w:t>Replacement of Securities</w:t>
      </w:r>
      <w:r>
        <w:rPr>
          <w:rFonts w:ascii="Times New Roman" w:hAnsi="Times New Roman"/>
          <w:color w:val="000000"/>
          <w:sz w:val="24"/>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5.15</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5.16</w:t>
      </w:r>
    </w:p>
    <w:p>
      <w:pPr>
        <w:pStyle w:val="TextBody"/>
        <w:bidi w:val="0"/>
        <w:spacing w:before="0" w:after="240"/>
        <w:jc w:val="both"/>
        <w:rPr/>
      </w:pPr>
      <w:r>
        <w:rPr>
          <w:rFonts w:ascii="Times New Roman" w:hAnsi="Times New Roman"/>
          <w:color w:val="000000"/>
          <w:sz w:val="24"/>
          <w:u w:val="single"/>
        </w:rPr>
        <w:t>Payment Set Aside</w:t>
      </w:r>
      <w:r>
        <w:rPr>
          <w:rFonts w:ascii="Times New Roman" w:hAnsi="Times New Roman"/>
          <w:color w:val="000000"/>
          <w:sz w:val="24"/>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5.17</w:t>
      </w:r>
    </w:p>
    <w:p>
      <w:pPr>
        <w:pStyle w:val="TextBody"/>
        <w:bidi w:val="0"/>
        <w:spacing w:before="0" w:after="240"/>
        <w:jc w:val="both"/>
        <w:rPr/>
      </w:pPr>
      <w:r>
        <w:rPr>
          <w:rFonts w:ascii="Times New Roman" w:hAnsi="Times New Roman"/>
          <w:color w:val="000000"/>
          <w:sz w:val="24"/>
          <w:u w:val="single"/>
        </w:rPr>
        <w:t>Independent Nature of Purchasers’ Obligations and Rights</w:t>
      </w:r>
      <w:r>
        <w:rPr>
          <w:rFonts w:ascii="Times New Roman" w:hAnsi="Times New Roman"/>
          <w:color w:val="000000"/>
          <w:sz w:val="24"/>
        </w:rPr>
        <w:t xml:space="preserve">.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w:t>
      </w:r>
    </w:p>
    <w:p>
      <w:pPr>
        <w:pStyle w:val="TextBody"/>
        <w:bidi w:val="0"/>
        <w:jc w:val="left"/>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5.18</w:t>
      </w:r>
    </w:p>
    <w:p>
      <w:pPr>
        <w:pStyle w:val="TextBody"/>
        <w:bidi w:val="0"/>
        <w:spacing w:before="0" w:after="240"/>
        <w:jc w:val="both"/>
        <w:rPr/>
      </w:pPr>
      <w:r>
        <w:rPr>
          <w:rFonts w:ascii="Times New Roman" w:hAnsi="Times New Roman"/>
          <w:color w:val="000000"/>
          <w:sz w:val="24"/>
          <w:u w:val="single"/>
        </w:rPr>
        <w:t>Liquidated Damages</w:t>
      </w:r>
      <w:r>
        <w:rPr>
          <w:rFonts w:ascii="Times New Roman" w:hAnsi="Times New Roman"/>
          <w:color w:val="000000"/>
          <w:sz w:val="24"/>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5.19</w:t>
      </w:r>
    </w:p>
    <w:p>
      <w:pPr>
        <w:pStyle w:val="TextBody"/>
        <w:bidi w:val="0"/>
        <w:spacing w:before="0" w:after="240"/>
        <w:jc w:val="both"/>
        <w:rPr/>
      </w:pPr>
      <w:r>
        <w:rPr>
          <w:rFonts w:ascii="Times New Roman" w:hAnsi="Times New Roman"/>
          <w:color w:val="000000"/>
          <w:sz w:val="24"/>
          <w:u w:val="single"/>
        </w:rPr>
        <w:t>Saturdays, Sundays, Holidays, etc.</w:t>
      </w:r>
      <w:r>
        <w:rPr>
          <w:color w:val="000000"/>
        </w:rPr>
        <w:t xml:space="preserve"> </w:t>
      </w:r>
      <w:r>
        <w:rPr>
          <w:rFonts w:ascii="Times New Roman" w:hAnsi="Times New Roman"/>
          <w:color w:val="000000"/>
          <w:sz w:val="24"/>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5.20</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5.21</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b/>
          <w:color w:val="000000"/>
          <w:sz w:val="24"/>
        </w:rPr>
        <w:t xml:space="preserve">. </w:t>
      </w:r>
      <w:r>
        <w:rPr>
          <w:rFonts w:ascii="Times New Roman" w:hAnsi="Times New Roman"/>
          <w:b/>
          <w:color w:val="000000"/>
          <w:sz w:val="24"/>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Heading2"/>
        <w:bidi w:val="0"/>
        <w:spacing w:before="0" w:after="240"/>
        <w:jc w:val="both"/>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jc w:val="left"/>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Securities Purchase Agreement to be duly executed by their respective authorized signatories as of the date first indicated above.</w:t>
      </w:r>
    </w:p>
    <w:p>
      <w:pPr>
        <w:pStyle w:val="TextBody"/>
        <w:bidi w:val="0"/>
        <w:jc w:val="left"/>
        <w:rPr/>
      </w:pPr>
      <w:r>
        <w:rPr/>
        <w:t> </w:t>
      </w:r>
    </w:p>
    <w:tbl>
      <w:tblPr>
        <w:tblW w:w="7517" w:type="dxa"/>
        <w:jc w:val="left"/>
        <w:tblInd w:w="0" w:type="dxa"/>
        <w:tblLayout w:type="fixed"/>
        <w:tblCellMar>
          <w:top w:w="28" w:type="dxa"/>
          <w:left w:w="28" w:type="dxa"/>
          <w:bottom w:w="28" w:type="dxa"/>
          <w:right w:w="28" w:type="dxa"/>
        </w:tblCellMar>
      </w:tblPr>
      <w:tblGrid>
        <w:gridCol w:w="5506"/>
        <w:gridCol w:w="2011"/>
      </w:tblGrid>
      <w:tr>
        <w:trPr/>
        <w:tc>
          <w:tcPr>
            <w:tcW w:w="55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Cardiff Oncology, Inc.</w:t>
            </w:r>
          </w:p>
          <w:p>
            <w:pPr>
              <w:pStyle w:val="TableContents"/>
              <w:bidi w:val="0"/>
              <w:jc w:val="left"/>
              <w:rPr/>
            </w:pPr>
            <w:r>
              <w:rPr/>
              <w:t> </w:t>
            </w:r>
          </w:p>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Address for Notice:</w:t>
            </w:r>
          </w:p>
        </w:tc>
      </w:tr>
      <w:tr>
        <w:trPr/>
        <w:tc>
          <w:tcPr>
            <w:tcW w:w="5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 (which shall not constitute notice):</w:t>
            </w:r>
          </w:p>
        </w:tc>
        <w:tc>
          <w:tcPr>
            <w:tcW w:w="201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E-Mail:</w:t>
            </w:r>
          </w:p>
          <w:p>
            <w:pPr>
              <w:pStyle w:val="TableContents"/>
              <w:bidi w:val="0"/>
              <w:spacing w:before="0" w:after="283"/>
              <w:jc w:val="left"/>
              <w:rPr/>
            </w:pPr>
            <w:r>
              <w:rPr/>
              <w:t> </w:t>
            </w:r>
          </w:p>
        </w:tc>
      </w:tr>
      <w:tr>
        <w:trPr/>
        <w:tc>
          <w:tcPr>
            <w:tcW w:w="55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SIGNATURE PAGE FOR PURCHASER FOLLOWS]</w:t>
      </w:r>
    </w:p>
    <w:p>
      <w:pPr>
        <w:pStyle w:val="TextBody"/>
        <w:bidi w:val="0"/>
        <w:jc w:val="left"/>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color w:val="000000"/>
          <w:sz w:val="24"/>
        </w:rPr>
        <w:t xml:space="preserve">[PURCHASER SIGNATURE PAGES TO </w:t>
      </w:r>
      <w:r>
        <w:rPr>
          <w:rFonts w:ascii="Times New Roman" w:hAnsi="Times New Roman"/>
          <w:caps/>
          <w:color w:val="000000"/>
          <w:sz w:val="24"/>
        </w:rPr>
        <w:t>CRDF</w:t>
      </w:r>
      <w:r>
        <w:rPr>
          <w:rFonts w:ascii="Times New Roman" w:hAnsi="Times New Roman"/>
          <w:color w:val="000000"/>
          <w:sz w:val="20"/>
        </w:rPr>
        <w:t xml:space="preserve"> </w:t>
      </w:r>
      <w:r>
        <w:rPr>
          <w:rFonts w:ascii="Times New Roman" w:hAnsi="Times New Roman"/>
          <w:color w:val="000000"/>
          <w:sz w:val="24"/>
        </w:rPr>
        <w:t>SECURITIES PURCHASE AGREEMENT]</w:t>
      </w:r>
    </w:p>
    <w:p>
      <w:pPr>
        <w:pStyle w:val="TextBody"/>
        <w:bidi w:val="0"/>
        <w:jc w:val="left"/>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undersigned have caused this Securities Purchase Agreement to be duly executed by their respective authorized signatories as of the date first indicated above.</w:t>
      </w:r>
    </w:p>
    <w:p>
      <w:pPr>
        <w:pStyle w:val="TextBody"/>
        <w:bidi w:val="0"/>
        <w:jc w:val="both"/>
        <w:rPr>
          <w:rFonts w:ascii="Times New Roman" w:hAnsi="Times New Roman"/>
          <w:color w:val="000000"/>
          <w:sz w:val="24"/>
        </w:rPr>
      </w:pPr>
      <w:r>
        <w:rPr>
          <w:rFonts w:ascii="Times New Roman" w:hAnsi="Times New Roman"/>
          <w:color w:val="000000"/>
          <w:sz w:val="24"/>
        </w:rPr>
        <w:t>Name of Purchaser: 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4"/>
        </w:rPr>
        <w:t>Signature of Authorized Signatory of Purchaser</w:t>
      </w:r>
      <w:r>
        <w:rPr>
          <w:rFonts w:ascii="Times New Roman" w:hAnsi="Times New Roman"/>
          <w:color w:val="000000"/>
          <w:sz w:val="24"/>
        </w:rPr>
        <w:t>: 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 of Authorized Signatory: 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 of Authorized Signatory: 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Email Address of Authorized Signatory:_________________________________________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Address for Notice to Purchaser: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Address for Delivery of Warrants to Purchaser (if not same as address for notice):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Subscription Amount: $_________________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Shares: _________________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Pre-Funded Warrant Shares: __________________ Beneficial Ownership Blocker  4.99% or  9.99%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Common Warrant Shares: __________________ Beneficial Ownership Blocker </w:t>
      </w:r>
      <w:r>
        <w:rPr>
          <w:rFonts w:ascii="Times New Roman" w:hAnsi="Times New Roman"/>
          <w:color w:val="000000"/>
          <w:sz w:val="20"/>
        </w:rPr>
        <w:t xml:space="preserve"> </w:t>
      </w:r>
      <w:r>
        <w:rPr>
          <w:rFonts w:ascii="Times New Roman" w:hAnsi="Times New Roman"/>
          <w:color w:val="000000"/>
          <w:sz w:val="24"/>
        </w:rPr>
        <w:t xml:space="preserve">4.99% or </w:t>
      </w:r>
      <w:r>
        <w:rPr>
          <w:rFonts w:ascii="Times New Roman" w:hAnsi="Times New Roman"/>
          <w:color w:val="000000"/>
          <w:sz w:val="20"/>
        </w:rPr>
        <w:t xml:space="preserve"> </w:t>
      </w:r>
      <w:r>
        <w:rPr>
          <w:rFonts w:ascii="Times New Roman" w:hAnsi="Times New Roman"/>
          <w:color w:val="000000"/>
          <w:sz w:val="24"/>
        </w:rPr>
        <w:t>9.99%</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EIN Number: _______________________</w:t>
      </w:r>
    </w:p>
    <w:p>
      <w:pPr>
        <w:pStyle w:val="TextBody"/>
        <w:bidi w:val="0"/>
        <w:jc w:val="left"/>
        <w:rPr/>
      </w:pPr>
      <w:r>
        <w:rPr/>
        <w:t> </w:t>
      </w:r>
    </w:p>
    <w:p>
      <w:pPr>
        <w:pStyle w:val="TextBody"/>
        <w:bidi w:val="0"/>
        <w:jc w:val="both"/>
        <w:rPr/>
      </w:pPr>
      <w:bookmarkStart w:id="13" w:name="ole_link14"/>
      <w:bookmarkStart w:id="14" w:name="ole_link13"/>
      <w:bookmarkEnd w:id="13"/>
      <w:bookmarkEnd w:id="14"/>
      <w:r>
        <w:rPr>
          <w:color w:val="000000"/>
        </w:rPr>
        <w:t xml:space="preserve"> </w:t>
      </w:r>
      <w:r>
        <w:rPr>
          <w:rFonts w:ascii="Times New Roman" w:hAnsi="Times New Roman"/>
          <w:color w:val="000000"/>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w:t>
      </w:r>
      <w:r>
        <w:rPr>
          <w:rFonts w:ascii="Times New Roman" w:hAnsi="Times New Roman"/>
          <w:color w:val="000000"/>
          <w:sz w:val="13"/>
        </w:rPr>
        <w:t>st</w:t>
      </w:r>
      <w:r>
        <w:rPr>
          <w:rFonts w:ascii="Times New Roman" w:hAnsi="Times New Roman"/>
          <w:color w:val="000000"/>
          <w:sz w:val="20"/>
        </w:rPr>
        <w:t>) Trading Day following the date of this Agreement (or the second (2nd) Trading Day following the date of this Agreement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jc w:val="left"/>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PAGES CONTINUE]</w:t>
      </w:r>
    </w:p>
    <w:p>
      <w:pPr>
        <w:pStyle w:val="TextBody"/>
        <w:bidi w:val="0"/>
        <w:jc w:val="left"/>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5" w:name="crdf-ex99_1.htm"/>
      <w:bookmarkStart w:id="16" w:name="kscrdfex99_1"/>
      <w:bookmarkEnd w:id="15"/>
      <w:bookmarkEnd w:id="16"/>
      <w:r>
        <w:rPr/>
        <w:t> </w:t>
      </w:r>
      <w:r>
        <w:br w:type="page"/>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Cardiff Oncology Announces $10 Million Registered Direct Offering</w:t>
      </w:r>
    </w:p>
    <w:p>
      <w:pPr>
        <w:pStyle w:val="TextBody"/>
        <w:bidi w:val="0"/>
        <w:jc w:val="both"/>
        <w:rPr>
          <w:rFonts w:ascii="Times New Roman" w:hAnsi="Times New Roman"/>
          <w:color w:val="000000"/>
          <w:sz w:val="24"/>
        </w:rPr>
      </w:pPr>
      <w:r>
        <w:rPr>
          <w:rFonts w:ascii="Times New Roman" w:hAnsi="Times New Roman"/>
          <w:color w:val="000000"/>
          <w:sz w:val="24"/>
        </w:rPr>
        <w:t>SAN DIEGO, July 15, 2026 -- Cardiff Oncology, Inc. (Nasdaq: CRDF) (the “Company”), a clinical-stage biotechnology company leveraging PLK1 inhibition to develop novel cancer therapies, today announced that it has entered into definitive agreements for the purchase and sale of an aggregate of 8,571,429 shares of its common stock and accompanying warrants to purchase up to an aggregate of 8,571,429 shares of its common stock, at a purchase price of $1.05 per share and accompanying warrant in a registered direct offering. In addition, certain members of the Company’s officers and directors are participating in the offering and have entered into definitive agreements for the purchase and sale of an aggregate of 731,707 shares of the Company’s common stock and accompanying warrants to purchase up to an aggregate of 731,707 shares of the Company’s common stock, at a purchase price of $1.435 per share and accompanying warrant. The warrants will have an exercise price of $1.31 per share, will be exercisable beginning on the later of (i) six months after issuance and (ii) the effective date of the increase of the Company’s authorized shares of common stock following stockholder approval, and will expire five and one-half years from the initial exercise date. The closing of the offering is expected to occur on or about July 16, 2026, subject to the satisfaction of customary closing conditions.</w:t>
      </w:r>
    </w:p>
    <w:p>
      <w:pPr>
        <w:pStyle w:val="TextBody"/>
        <w:bidi w:val="0"/>
        <w:jc w:val="both"/>
        <w:rPr>
          <w:rFonts w:ascii="Times New Roman" w:hAnsi="Times New Roman"/>
          <w:color w:val="000000"/>
          <w:sz w:val="24"/>
        </w:rPr>
      </w:pPr>
      <w:r>
        <w:rPr>
          <w:rFonts w:ascii="Times New Roman" w:hAnsi="Times New Roman"/>
          <w:color w:val="000000"/>
          <w:sz w:val="24"/>
        </w:rPr>
        <w:t>H.C. Wainwright &amp; Co. is acting as the exclusive placement agent for the offering.</w:t>
      </w:r>
    </w:p>
    <w:p>
      <w:pPr>
        <w:pStyle w:val="TextBody"/>
        <w:bidi w:val="0"/>
        <w:jc w:val="both"/>
        <w:rPr>
          <w:rFonts w:ascii="Times New Roman" w:hAnsi="Times New Roman"/>
          <w:color w:val="000000"/>
          <w:sz w:val="24"/>
        </w:rPr>
      </w:pPr>
      <w:r>
        <w:rPr>
          <w:rFonts w:ascii="Times New Roman" w:hAnsi="Times New Roman"/>
          <w:color w:val="000000"/>
          <w:sz w:val="24"/>
        </w:rPr>
        <w:t>The aggregate gross proceeds to the Company from the offering are expected to be approximately $10 million, before deducting the placement agent fees and other offering expenses payable by the Company. The Company currently intends to use the net proceeds from the offering for working capital and other general corporate purposes.</w:t>
      </w:r>
    </w:p>
    <w:p>
      <w:pPr>
        <w:pStyle w:val="TextBody"/>
        <w:bidi w:val="0"/>
        <w:jc w:val="both"/>
        <w:rPr>
          <w:rFonts w:ascii="Times New Roman" w:hAnsi="Times New Roman"/>
          <w:sz w:val="20"/>
        </w:rPr>
      </w:pPr>
      <w:r>
        <w:rPr>
          <w:rFonts w:ascii="Times New Roman" w:hAnsi="Times New Roman"/>
          <w:color w:val="000000"/>
          <w:sz w:val="24"/>
        </w:rPr>
        <w:t>The securities described above are being offered pursuant to a “shelf” registration statement (File No. 333-285327) filed with the Securities and Exchange Commission (“SEC”) on February 27, 2025 and declared effective on May 13, 2025. The offering is being made only by means of a prospectus, including a prospectus supplement, forming a part of the effective registration statement. The prospectus supplement and the accompanying prospectus relating to the securities being offered will be filed with the SEC and be available at the SEC’s website at www.sec.gov. Electronic copies of the prospectus supplement and the accompanying prospectus relating to the securities being offered may also be obtained, when available, by contacting H.C. Wainwright &amp; Co., LLC at 430 Park Avenue, 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Floor, New York, NY 10022, by telephone at (212) 856-5711 or e-mail at placements@hcwco.com.</w:t>
      </w:r>
    </w:p>
    <w:p>
      <w:pPr>
        <w:pStyle w:val="TextBody"/>
        <w:bidi w:val="0"/>
        <w:jc w:val="both"/>
        <w:rPr>
          <w:rFonts w:ascii="Times New Roman" w:hAnsi="Times New Roman"/>
          <w:color w:val="000000"/>
          <w:sz w:val="24"/>
        </w:rPr>
      </w:pPr>
      <w:r>
        <w:rPr>
          <w:rFonts w:ascii="Times New Roman" w:hAnsi="Times New Roman"/>
          <w:color w:val="000000"/>
          <w:sz w:val="24"/>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jc w:val="left"/>
        <w:rPr>
          <w:rFonts w:ascii="Times New Roman" w:hAnsi="Times New Roman"/>
          <w:sz w:val="20"/>
        </w:rPr>
      </w:pPr>
      <w:r>
        <w:rPr>
          <w:rFonts w:ascii="Times New Roman" w:hAnsi="Times New Roman"/>
          <w:b/>
          <w:color w:val="000000"/>
          <w:sz w:val="24"/>
        </w:rPr>
        <w:t>About Cardiff Oncology,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Cardiff Oncology is a clinical-stage biotechnology company advancing innovative cancer treatments focused on PLK1 inhibition, a validated oncology target with practice-changing potential. Our lead asset, onvansertib, is a highly specific, oral PLK1 inhibitor currently being</w:t>
      </w:r>
      <w:r>
        <w:rPr>
          <w:rFonts w:ascii="Times New Roman" w:hAnsi="Times New Roman"/>
          <w:color w:val="000000"/>
          <w:sz w:val="20"/>
        </w:rPr>
        <w:t xml:space="preserve"> </w:t>
      </w:r>
    </w:p>
    <w:tbl>
      <w:tblPr>
        <w:tblW w:w="2758" w:type="dxa"/>
        <w:jc w:val="left"/>
        <w:tblInd w:w="0" w:type="dxa"/>
        <w:tblLayout w:type="fixed"/>
        <w:tblCellMar>
          <w:top w:w="28" w:type="dxa"/>
          <w:left w:w="28" w:type="dxa"/>
          <w:bottom w:w="28" w:type="dxa"/>
          <w:right w:w="28" w:type="dxa"/>
        </w:tblCellMar>
      </w:tblPr>
      <w:tblGrid>
        <w:gridCol w:w="2191"/>
        <w:gridCol w:w="376"/>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160"/>
              <w:jc w:val="left"/>
              <w:rPr>
                <w:rFonts w:ascii="sans-serif" w:hAnsi="sans-serif"/>
                <w:color w:val="000000"/>
                <w:sz w:val="16"/>
              </w:rPr>
            </w:pPr>
            <w:r>
              <w:rPr>
                <w:rFonts w:ascii="sans-serif" w:hAnsi="sans-serif"/>
                <w:color w:val="000000"/>
                <w:sz w:val="16"/>
              </w:rPr>
              <w:t>SMRH:4932-7364-1149.1</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evaluated in a Phase 2 trial for first-line treatment of RAS-mutated metastatic colorectal cancer (mCRC), addressing a large, underserved patient population with high unmet need. Onvansertib is also under investigation in other PLK1-driven cancers through ongoing investigator-initiated trials and has shown robust single agent clinical activity in hard-to-treat tumors. By targeting tumor vulnerabilities, we aim to overcome treatment resistance and deliver improved clinical outcomes for patients.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For more information, please visit </w:t>
      </w:r>
      <w:r>
        <w:rPr>
          <w:rFonts w:ascii="Times New Roman" w:hAnsi="Times New Roman"/>
          <w:sz w:val="24"/>
        </w:rPr>
        <w:t>https://www.cardiffoncology.com</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b/>
          <w:color w:val="000000"/>
          <w:sz w:val="24"/>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Certain statements in this press release are forward-looking within the meaning of the Private Securities Litigation Reform Act of 1995. These statements may be identified using words such as “anticipate,” “believe,” “forecast,” “estimated” and “intend” or other similar terms or expressions that concern Cardiff Oncology’s expectations, strategy, plans or intentions. These forward-looking statements are based on Cardiff Oncology’s current expectations and actual results could differ materially. There are several factors that could cause actual events to differ materially from those indicated by such forward-looking statements. These factors include, but are not limited to, the completion of the offering; the satisfaction of customary closing conditions related to the offering; the intended use of proceeds from the offering; the receipt of stockholder approval;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 results of preclinical studies or clinical trials for our product candidate could be unfavorable or delayed; our need for additional financing; uncertainty as to the outcome of pending litigation against Nerviano Medical Sciences S.r.l. with respect to our license agreement with Nerviano; risks related to business interruptions, including the outbreak of COVID-19 coronavirus and cyber-attacks on our information technology infrastructure, which could seriously harm our financial condition and increase our costs and expenses; uncertainties of government or third party payer reimbursement; dependence on key personnel; limited experience in marketing and sales; substantial competition; uncertainties of patent protection and litigation; dependence upon third parties; and risks related to failure to obtain FDA clearances or approvals and noncompliance with FDA regulations. There are no guarantees that our product candidate will be utilized or prove to be commercially successful. Additionally, there are no guarantees that future clinical trials will be completed or successful or that our product candidate will receive regulatory approval for any indication or prove to be commercially successful. Investors should read the risk factors set forth in Cardiff Oncology’s Form 10-K for the year ended December 31, 2025, and other periodic reports filed with the SEC.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Cardiff Oncology does not undertake any obligation to update publicly such statements to reflect subsequent events or circumstances.</w:t>
      </w:r>
    </w:p>
    <w:p>
      <w:pPr>
        <w:pStyle w:val="TextBody"/>
        <w:bidi w:val="0"/>
        <w:jc w:val="left"/>
        <w:rPr>
          <w:rFonts w:ascii="Times New Roman" w:hAnsi="Times New Roman"/>
          <w:sz w:val="20"/>
        </w:rPr>
      </w:pPr>
      <w:r>
        <w:rPr>
          <w:rFonts w:ascii="Times New Roman" w:hAnsi="Times New Roman"/>
          <w:b/>
          <w:color w:val="000000"/>
          <w:sz w:val="24"/>
        </w:rPr>
        <w:t>Investor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Candice Masse</w:t>
      </w:r>
      <w:r>
        <w:rPr>
          <w:rFonts w:ascii="Times New Roman" w:hAnsi="Times New Roman"/>
          <w:color w:val="000000"/>
          <w:sz w:val="20"/>
        </w:rPr>
        <w:t xml:space="preserve"> </w:t>
      </w:r>
    </w:p>
    <w:tbl>
      <w:tblPr>
        <w:tblW w:w="2758" w:type="dxa"/>
        <w:jc w:val="left"/>
        <w:tblInd w:w="0" w:type="dxa"/>
        <w:tblLayout w:type="fixed"/>
        <w:tblCellMar>
          <w:top w:w="28" w:type="dxa"/>
          <w:left w:w="28" w:type="dxa"/>
          <w:bottom w:w="28" w:type="dxa"/>
          <w:right w:w="28" w:type="dxa"/>
        </w:tblCellMar>
      </w:tblPr>
      <w:tblGrid>
        <w:gridCol w:w="2191"/>
        <w:gridCol w:w="376"/>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160"/>
              <w:jc w:val="left"/>
              <w:rPr>
                <w:rFonts w:ascii="sans-serif" w:hAnsi="sans-serif"/>
                <w:color w:val="000000"/>
                <w:sz w:val="16"/>
              </w:rPr>
            </w:pPr>
            <w:r>
              <w:rPr>
                <w:rFonts w:ascii="sans-serif" w:hAnsi="sans-serif"/>
                <w:color w:val="000000"/>
                <w:sz w:val="16"/>
              </w:rPr>
              <w:t>SMRH:4932-7364-1149.1</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astr partners</w:t>
      </w:r>
      <w:r>
        <w:rPr>
          <w:rFonts w:ascii="Times New Roman" w:hAnsi="Times New Roman"/>
          <w:color w:val="000000"/>
          <w:sz w:val="20"/>
        </w:rPr>
        <w:t xml:space="preserve"> </w:t>
      </w:r>
    </w:p>
    <w:p>
      <w:pPr>
        <w:pStyle w:val="TextBody"/>
        <w:bidi w:val="0"/>
        <w:jc w:val="left"/>
        <w:rPr>
          <w:rFonts w:ascii="Times New Roman" w:hAnsi="Times New Roman"/>
          <w:sz w:val="24"/>
        </w:rPr>
      </w:pPr>
      <w:r>
        <w:rPr>
          <w:rFonts w:ascii="Times New Roman" w:hAnsi="Times New Roman"/>
          <w:sz w:val="24"/>
        </w:rPr>
        <w:t>candice.masse@astrpartners.com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Amy Bonanno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Lyra Strategic Advisory</w:t>
      </w:r>
      <w:r>
        <w:rPr>
          <w:rFonts w:ascii="Times New Roman" w:hAnsi="Times New Roman"/>
          <w:color w:val="000000"/>
          <w:sz w:val="20"/>
        </w:rPr>
        <w:t xml:space="preserve"> </w:t>
      </w:r>
    </w:p>
    <w:p>
      <w:pPr>
        <w:pStyle w:val="TextBody"/>
        <w:bidi w:val="0"/>
        <w:jc w:val="left"/>
        <w:rPr>
          <w:rFonts w:ascii="Times New Roman" w:hAnsi="Times New Roman"/>
          <w:sz w:val="24"/>
        </w:rPr>
      </w:pPr>
      <w:r>
        <w:rPr>
          <w:rFonts w:ascii="Times New Roman" w:hAnsi="Times New Roman"/>
          <w:sz w:val="24"/>
        </w:rPr>
        <w:t>abonanno@lyraadvisory.com</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tbl>
      <w:tblPr>
        <w:tblW w:w="2758" w:type="dxa"/>
        <w:jc w:val="left"/>
        <w:tblInd w:w="0" w:type="dxa"/>
        <w:tblLayout w:type="fixed"/>
        <w:tblCellMar>
          <w:top w:w="28" w:type="dxa"/>
          <w:left w:w="28" w:type="dxa"/>
          <w:bottom w:w="28" w:type="dxa"/>
          <w:right w:w="28" w:type="dxa"/>
        </w:tblCellMar>
      </w:tblPr>
      <w:tblGrid>
        <w:gridCol w:w="2191"/>
        <w:gridCol w:w="376"/>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160"/>
              <w:jc w:val="left"/>
              <w:rPr>
                <w:rFonts w:ascii="sans-serif" w:hAnsi="sans-serif"/>
                <w:color w:val="000000"/>
                <w:sz w:val="16"/>
              </w:rPr>
            </w:pPr>
            <w:r>
              <w:rPr>
                <w:rFonts w:ascii="sans-serif" w:hAnsi="sans-serif"/>
                <w:color w:val="000000"/>
                <w:sz w:val="16"/>
              </w:rPr>
              <w:t>SMRH:4932-7364-1149.1</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41524</Words>
  <Characters>218934</Characters>
  <CharactersWithSpaces>260101</CharactersWithSpaces>
  <Paragraphs>1221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