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Mohindru Mani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11055 FLINTKOTE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CARDIFF ONCOLOGY,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Cardiff Oncology, Inc.</w:t>
              </w:r>
            </w:hyperlink>
            <w:r>
              <w:rPr/>
              <w:t xml:space="preserve"> [ </w:t>
            </w:r>
            <w:r>
              <w:rPr>
                <w:rFonts w:ascii="Times;serif" w:hAnsi="Times;serif"/>
                <w:color w:val="0000FF"/>
                <w:sz w:val="24"/>
                <w:shd w:fill="FFFFFF" w:val="clear"/>
              </w:rPr>
              <w:t>CRDF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34,364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59,067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Exercisable beginning on the later of (i) six months after issuance or (ii) the Authorized Share Increase Date (the "Initial Exercise Date"). "Authorized Share Increase Date" means the date on which an amendment to the Issuer's certificate of incorporation increasing the number of authorized shares of its common stock to an amount sufficient for the exercise in full of the Common Warrants is filed with and accepted by the State of Delaware, subject to approval of such amendment by its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of exercise is equal to five and one-half years after the Initial Exercise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Mani Mohindru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4708" TargetMode="External"/><Relationship Id="rId5" Type="http://schemas.openxmlformats.org/officeDocument/2006/relationships/hyperlink" Target="http://www.sec.gov/cgi-bin/browse-edgar?action=getcompany&amp;CIK=00012130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3640</Characters>
  <CharactersWithSpaces>4247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