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df_07.14.26_-_424b5.htm"/>
      <w:bookmarkStart w:id="1" w:name="kscrdf_07"/>
      <w:bookmarkEnd w:id="0"/>
      <w:bookmarkEnd w:id="1"/>
      <w:r>
        <w:rPr/>
        <w:t> </w:t>
      </w:r>
    </w:p>
    <w:p>
      <w:pPr>
        <w:pStyle w:val="TextBody"/>
        <w:bidi w:val="0"/>
        <w:jc w:val="right"/>
        <w:rPr>
          <w:rFonts w:ascii="Times New Roman" w:hAnsi="Times New Roman"/>
          <w:b/>
          <w:color w:val="000000"/>
          <w:sz w:val="24"/>
        </w:rPr>
      </w:pPr>
      <w:bookmarkStart w:id="2" w:name="section1"/>
      <w:bookmarkEnd w:id="2"/>
      <w:r>
        <w:rPr>
          <w:rFonts w:ascii="Times New Roman" w:hAnsi="Times New Roman"/>
          <w:b/>
          <w:color w:val="000000"/>
          <w:sz w:val="24"/>
        </w:rPr>
        <w:t>Filed Pursuant to Rule 424(b)(5)</w:t>
      </w:r>
    </w:p>
    <w:p>
      <w:pPr>
        <w:pStyle w:val="TextBody"/>
        <w:bidi w:val="0"/>
        <w:jc w:val="right"/>
        <w:rPr>
          <w:rFonts w:ascii="Times New Roman" w:hAnsi="Times New Roman"/>
          <w:b/>
          <w:color w:val="000000"/>
          <w:sz w:val="24"/>
        </w:rPr>
      </w:pPr>
      <w:r>
        <w:rPr>
          <w:rFonts w:ascii="Times New Roman" w:hAnsi="Times New Roman"/>
          <w:b/>
          <w:color w:val="000000"/>
          <w:sz w:val="24"/>
        </w:rPr>
        <w:t>Registration No. 333-285327</w:t>
      </w:r>
    </w:p>
    <w:p>
      <w:pPr>
        <w:pStyle w:val="TextBody"/>
        <w:bidi w:val="0"/>
        <w:jc w:val="left"/>
        <w:rPr/>
      </w:pPr>
      <w:r>
        <w:rPr/>
        <w:t> </w:t>
      </w:r>
    </w:p>
    <w:p>
      <w:pPr>
        <w:pStyle w:val="TextBody"/>
        <w:bidi w:val="0"/>
        <w:spacing w:before="53" w:after="30"/>
        <w:jc w:val="left"/>
        <w:rPr>
          <w:rFonts w:ascii="Times New Roman" w:hAnsi="Times New Roman"/>
          <w:b/>
          <w:color w:val="000000"/>
          <w:sz w:val="20"/>
        </w:rPr>
      </w:pPr>
      <w:r>
        <w:rPr>
          <w:rFonts w:ascii="Times New Roman" w:hAnsi="Times New Roman"/>
          <w:b/>
          <w:color w:val="000000"/>
          <w:sz w:val="20"/>
        </w:rPr>
        <w:t>PROSPECTUS SUPPLEMENT</w:t>
      </w:r>
    </w:p>
    <w:p>
      <w:pPr>
        <w:pStyle w:val="TextBody"/>
        <w:bidi w:val="0"/>
        <w:spacing w:before="23" w:after="30"/>
        <w:jc w:val="left"/>
        <w:rPr>
          <w:rFonts w:ascii="Times New Roman" w:hAnsi="Times New Roman"/>
          <w:b/>
          <w:color w:val="000000"/>
          <w:sz w:val="20"/>
        </w:rPr>
      </w:pPr>
      <w:r>
        <w:rPr>
          <w:rFonts w:ascii="Times New Roman" w:hAnsi="Times New Roman"/>
          <w:b/>
          <w:color w:val="000000"/>
          <w:sz w:val="20"/>
        </w:rPr>
        <w:t>(To Prospectus Dated May 13, 2025)</w:t>
      </w:r>
    </w:p>
    <w:p>
      <w:pPr>
        <w:pStyle w:val="TextBody"/>
        <w:bidi w:val="0"/>
        <w:jc w:val="center"/>
        <w:rPr/>
      </w:pPr>
      <w:r>
        <w:rPr/>
        <w:t> </w:t>
      </w:r>
    </w:p>
    <w:p>
      <w:pPr>
        <w:pStyle w:val="TextBody"/>
        <w:bidi w:val="0"/>
        <w:jc w:val="left"/>
        <w:rPr/>
      </w:pPr>
      <w:r>
        <w:rPr/>
        <w:t> </w:t>
      </w:r>
    </w:p>
    <w:p>
      <w:pPr>
        <w:pStyle w:val="TextBody"/>
        <w:bidi w:val="0"/>
        <w:jc w:val="center"/>
        <w:rPr/>
      </w:pPr>
      <w:r>
        <w:rPr/>
        <w:drawing>
          <wp:inline distT="0" distB="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810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9,293,078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Common Warrants to Purchase 9,293,078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(and the 9,293,078 shares of Common Stock underlying the Common Warrants)</w:t>
      </w:r>
    </w:p>
    <w:p>
      <w:pPr>
        <w:pStyle w:val="TextBody"/>
        <w:bidi w:val="0"/>
        <w:jc w:val="center"/>
        <w:rPr>
          <w:rFonts w:ascii="Times New Roman" w:hAnsi="Times New Roman"/>
          <w:b/>
          <w:color w:val="000000"/>
          <w:sz w:val="20"/>
        </w:rPr>
      </w:pPr>
      <w:r>
        <w:rPr>
          <w:rFonts w:ascii="Times New Roman" w:hAnsi="Times New Roman"/>
          <w:b/>
          <w:color w:val="000000"/>
          <w:sz w:val="20"/>
        </w:rPr>
        <w:t>Placement Agent Warrants to Purchase 464,654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(and the 464,654 shares of Common Stock underlying the Placement Agent 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We are offering 8,571,429 shares of our common stock, $0.0001 par value per share, together with accompanying warrants (the “Common Warrants”) to purchase up to 8,571,429 shares of common stock (the “Common Warrant Shares”), pursuant to this prospectus supplement and the accompanying prospectus to several institutional investors. The purchase price of each share of common stock and accompanying Common Warrant to the purchasers identified in the securities purchase agreement dated July 14, 2026, by and among us and the purchasers listed on the signature pages thereto (the “SPA”) is $1.05 per share and accompanying Common Warrant.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also offering 721,649 shares of our common stock, (the “Insider Shares”), together with 721,649 Common Warrants, pursuant to this prospectus supplement and the accompanying prospectus to certain of the Company’s officers and directors. The purchase price of each share of common stock and accompanying Common Warrant to the purchasers identified in the securities purchase agreement dated July 14, 2026, by and among us and the insider purchasers listed on the signature pages thereto (the “Insiders”) is $1.455 per share and accompanying Common Warrant.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Warrants will have an exercise price of $1.31 per share ($1.33 for the Insiders), will be exercisable beginning on the later of (i) six months after issuance or (ii) the Authorized Share Increase Date (as defined below) (the “Initial Exercise Date”) and will have a term of exercise equal to five and one-half years after the Initial Exercise Date. "Authorized Share Increase Date" means the date on which an amendment to our certificate of incorporation increasing the number of authorized shares of our common stock to an amount sufficient for the exercise in full of the Common Warrants is filed with and accepted by the State of Delaware, subject to approval of such amendment by our stockholders. We have agreed to file a proxy statement on or prior to the date that is forty-five (45) days following the closing of this offering for the purpose of obtaining such stockholder approval, and if we do not obtain such approval at the first meeting, to call a meeting every sixty (60) days thereafter until such approval is obtained or the Common Warrants are no longer outstanding.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is traded on The Nasdaq Capital Market under the symbol “CRDF.” On July 14, 2026, the last sale price of our common stock as reported on The Nasdaq Capital Market was $1.31 per share. There is no established public trading market for the Common Warrants and we do not expect a market to develop. In addition, we do not intend to apply for a listing of the Common Warrants on any national securities exchange or other nationally recognized trading system.</w:t>
      </w:r>
    </w:p>
    <w:p>
      <w:pPr>
        <w:pStyle w:val="TextBody"/>
        <w:bidi w:val="0"/>
        <w:jc w:val="both"/>
        <w:rPr>
          <w:rFonts w:ascii="Times New Roman" w:hAnsi="Times New Roman"/>
          <w:color w:val="000000"/>
          <w:sz w:val="20"/>
        </w:rPr>
      </w:pPr>
      <w:r>
        <w:rPr>
          <w:rFonts w:ascii="Times New Roman" w:hAnsi="Times New Roman"/>
          <w:color w:val="000000"/>
          <w:sz w:val="20"/>
        </w:rPr>
        <w:t>We have retained H.C. Wainwright &amp; Co., LLC to act as our exclusive placement agent (the “Placement Agent”) in connection with this offering. The Placement Agent is not purchasing or selling any of the securities offered pursuant to this prospectus supplement and the accompanying prospectus and the Placement Agent is not required to arrange the purchase or sale of any specific number of securities or dollar amount and has agreed to use its reasonable best efforts to sell the securities offered by this prospectus supplement and the accompanying prospectus. We have agreed to pay the Placement Agent certain cash fees set forth in the table below, which assumes that we sell all of the shares of common stock and warrants we are offering pursuant to this prospectus supplement and the accompanying prospectus. See “Plan of Distribution” beginning on page S-14 of this prospectus supplement for additional information with respect to the compensation we will pay the Placement Agent.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Investing in our common stock involves a high degree of risk. See “Risk Factors” beginning on page S-5</w:t>
      </w:r>
      <w:r>
        <w:rPr>
          <w:rFonts w:ascii="Times New Roman" w:hAnsi="Times New Roman"/>
          <w:color w:val="000000"/>
          <w:sz w:val="20"/>
        </w:rPr>
        <w:t xml:space="preserve"> </w:t>
      </w:r>
      <w:r>
        <w:rPr>
          <w:rFonts w:ascii="Times New Roman" w:hAnsi="Times New Roman"/>
          <w:b/>
          <w:color w:val="000000"/>
          <w:sz w:val="20"/>
        </w:rPr>
        <w:t>of this prospectus supplement, on page 11</w:t>
      </w:r>
      <w:r>
        <w:rPr>
          <w:rFonts w:ascii="Times New Roman" w:hAnsi="Times New Roman"/>
          <w:color w:val="000000"/>
          <w:sz w:val="20"/>
        </w:rPr>
        <w:t xml:space="preserve"> </w:t>
      </w:r>
      <w:r>
        <w:rPr>
          <w:rFonts w:ascii="Times New Roman" w:hAnsi="Times New Roman"/>
          <w:b/>
          <w:color w:val="000000"/>
          <w:sz w:val="20"/>
        </w:rPr>
        <w:t>of the accompanying prospectus and in the documents incorporated by reference into this prospectus supplement.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1"/>
        <w:gridCol w:w="109"/>
        <w:gridCol w:w="921"/>
        <w:gridCol w:w="2037"/>
        <w:gridCol w:w="146"/>
        <w:gridCol w:w="109"/>
        <w:gridCol w:w="884"/>
        <w:gridCol w:w="2399"/>
        <w:gridCol w:w="146"/>
        <w:gridCol w:w="109"/>
        <w:gridCol w:w="211"/>
        <w:gridCol w:w="1083"/>
      </w:tblGrid>
      <w:tr>
        <w:trPr/>
        <w:tc>
          <w:tcPr>
            <w:tcW w:w="2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Per Share and Accompanying Common Warrant</w:t>
            </w:r>
            <w:r>
              <w:rPr>
                <w:rFonts w:ascii="Times New Roman" w:hAnsi="Times New Roman"/>
                <w:color w:val="000000"/>
                <w:sz w:val="20"/>
              </w:rPr>
              <w:t xml:space="preserve"> </w:t>
            </w:r>
          </w:p>
        </w:tc>
        <w:tc>
          <w:tcPr>
            <w:tcW w:w="146" w:type="dxa"/>
            <w:tcBorders>
              <w:bottom w:val="single" w:sz="12" w:space="0" w:color="000000"/>
            </w:tcBorders>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Insider Share and Accompanying Common Warrant</w:t>
            </w:r>
          </w:p>
        </w:tc>
        <w:tc>
          <w:tcPr>
            <w:tcW w:w="146" w:type="dxa"/>
            <w:tcBorders>
              <w:bottom w:val="single" w:sz="12" w:space="0" w:color="000000"/>
            </w:tcBorders>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r>
      <w:tr>
        <w:trPr/>
        <w:tc>
          <w:tcPr>
            <w:tcW w:w="20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price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10,050,000</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fees (1)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703,500</w:t>
            </w:r>
          </w:p>
        </w:tc>
      </w:tr>
      <w:tr>
        <w:trPr/>
        <w:tc>
          <w:tcPr>
            <w:tcW w:w="20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 (2)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9,346,500</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Consists of a cash fee of 7.0% of the aggregate gross proceeds in this offering. In addition, we have agreed to pay the Placement Agent $35,000 for non-accountable expenses, up to $50,000 for expenses of legal counsel and other out-of-pocket expenses and up to $15,950 for clearing fees. In addition, we have agreed to issue the Placement Agent warrants (the “Placement Agent Warrants”) to purchase shares of our common stock equal to 5.0% of the aggregate number of the shares sold in this offering. See “Plan of Distribution” beginning on page S-14 of this prospectus supplement for additional information with respect to the compensation we will pay the Placement Agent.</w:t>
            </w:r>
          </w:p>
        </w:tc>
      </w:tr>
      <w:tr>
        <w:trPr/>
        <w:tc>
          <w:tcPr>
            <w:tcW w:w="295" w:type="dxa"/>
            <w:tcBorders/>
            <w:tcMar>
              <w:top w:w="0" w:type="dxa"/>
              <w:left w:w="0" w:type="dxa"/>
              <w:bottom w:w="0" w:type="dxa"/>
              <w:right w:w="0" w:type="dxa"/>
            </w:tcMar>
            <w:vAlign w:val="center"/>
          </w:tcPr>
          <w:p>
            <w:pPr>
              <w:pStyle w:val="TableContents"/>
              <w:bidi w:val="0"/>
              <w:spacing w:before="53" w:after="30"/>
              <w:jc w:val="center"/>
              <w:rPr/>
            </w:pPr>
            <w:r>
              <w:rPr/>
              <w:t> </w:t>
            </w:r>
          </w:p>
        </w:tc>
        <w:tc>
          <w:tcPr>
            <w:tcW w:w="9910" w:type="dxa"/>
            <w:tcBorders/>
            <w:tcMar>
              <w:top w:w="0" w:type="dxa"/>
              <w:left w:w="0" w:type="dxa"/>
              <w:bottom w:w="0" w:type="dxa"/>
              <w:right w:w="0" w:type="dxa"/>
            </w:tcMar>
            <w:vAlign w:val="center"/>
          </w:tcPr>
          <w:p>
            <w:pPr>
              <w:pStyle w:val="TableContents"/>
              <w:bidi w:val="0"/>
              <w:spacing w:before="53" w:after="30"/>
              <w:jc w:val="both"/>
              <w:rPr/>
            </w:pPr>
            <w:r>
              <w:rPr/>
              <w:t> </w:t>
            </w:r>
          </w:p>
        </w:tc>
      </w:tr>
      <w:tr>
        <w:trPr/>
        <w:tc>
          <w:tcPr>
            <w:tcW w:w="29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w:t>
            </w:r>
          </w:p>
          <w:p>
            <w:pPr>
              <w:pStyle w:val="TableContents"/>
              <w:bidi w:val="0"/>
              <w:spacing w:before="0" w:after="283"/>
              <w:jc w:val="left"/>
              <w:rPr/>
            </w:pPr>
            <w:r>
              <w:rPr/>
              <w:t> </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amount of the offering proceeds to us presented in this table does not take into account the proceeds from the exercise of any of the Common Warrants or any of the Placement Agent Warrants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jc w:val="both"/>
        <w:rPr>
          <w:rFonts w:ascii="Times New Roman" w:hAnsi="Times New Roman"/>
          <w:color w:val="000000"/>
          <w:sz w:val="20"/>
        </w:rPr>
      </w:pPr>
      <w:r>
        <w:rPr>
          <w:rFonts w:ascii="Times New Roman" w:hAnsi="Times New Roman"/>
          <w:color w:val="000000"/>
          <w:sz w:val="20"/>
        </w:rPr>
        <w:t>Delivery of the shares of common stock and warrants offered hereby is expected to be made on or about July 16, 2026, subject to satisfaction of certain customary closing conditions.</w:t>
      </w:r>
    </w:p>
    <w:p>
      <w:pPr>
        <w:pStyle w:val="TextBody"/>
        <w:bidi w:val="0"/>
        <w:jc w:val="center"/>
        <w:rPr>
          <w:rFonts w:ascii="Times New Roman" w:hAnsi="Times New Roman"/>
          <w:b/>
          <w:color w:val="000000"/>
          <w:sz w:val="32"/>
        </w:rPr>
      </w:pPr>
      <w:r>
        <w:rPr>
          <w:rFonts w:ascii="Times New Roman" w:hAnsi="Times New Roman"/>
          <w:b/>
          <w:color w:val="000000"/>
          <w:sz w:val="32"/>
        </w:rPr>
        <w:t>H.C. Wainwright &amp; Co.</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July 14,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3" w:name="section2"/>
      <w:bookmarkEnd w:id="3"/>
      <w:r>
        <w:rPr>
          <w:rFonts w:ascii="Times New Roman" w:hAnsi="Times New Roman"/>
          <w:b/>
          <w:color w:val="000000"/>
          <w:sz w:val="24"/>
        </w:rPr>
        <w:t>TABLE OF CONTENTS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PROSPECTUS SUPPLEMENT</w:t>
      </w:r>
    </w:p>
    <w:p>
      <w:pPr>
        <w:pStyle w:val="TextBody"/>
        <w:bidi w:val="0"/>
        <w:jc w:val="center"/>
        <w:rPr/>
      </w:pPr>
      <w:r>
        <w:rPr/>
        <w:t> </w:t>
      </w:r>
    </w:p>
    <w:tbl>
      <w:tblPr>
        <w:tblW w:w="6643" w:type="dxa"/>
        <w:jc w:val="left"/>
        <w:tblInd w:w="0" w:type="dxa"/>
        <w:tblLayout w:type="fixed"/>
        <w:tblCellMar>
          <w:top w:w="28" w:type="dxa"/>
          <w:left w:w="28" w:type="dxa"/>
          <w:bottom w:w="28" w:type="dxa"/>
          <w:right w:w="28" w:type="dxa"/>
        </w:tblCellMar>
      </w:tblPr>
      <w:tblGrid>
        <w:gridCol w:w="5851"/>
        <w:gridCol w:w="146"/>
        <w:gridCol w:w="646"/>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4"/>
              </w:rPr>
            </w:pPr>
            <w:r>
              <w:rPr>
                <w:rFonts w:ascii="Times New Roman" w:hAnsi="Times New Roman"/>
                <w:b/>
                <w:color w:val="000000"/>
                <w:sz w:val="24"/>
              </w:rPr>
              <w:t>Page</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ection4">
              <w:r>
                <w:rPr>
                  <w:rStyle w:val="InternetLink"/>
                  <w:rFonts w:ascii="Times New Roman" w:hAnsi="Times New Roman"/>
                  <w:color w:val="0000FF"/>
                  <w:sz w:val="20"/>
                  <w:u w:val="single"/>
                </w:rPr>
                <w:t>ABOUT THIS PROSPECTUS SUPPLEMENT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S-1</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ection6">
              <w:r>
                <w:rPr>
                  <w:rStyle w:val="InternetLink"/>
                  <w:rFonts w:ascii="Times New Roman" w:hAnsi="Times New Roman"/>
                  <w:color w:val="0000FF"/>
                  <w:sz w:val="20"/>
                  <w:u w:val="single"/>
                </w:rPr>
                <w:t>PROSPECTUS SUPPLEMENT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S-2</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ection7">
              <w:r>
                <w:rPr>
                  <w:rStyle w:val="InternetLink"/>
                  <w:rFonts w:ascii="Times New Roman" w:hAnsi="Times New Roman"/>
                  <w:color w:val="0000FF"/>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S-3</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S-5</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pecial_note_regarding_for">
              <w:r>
                <w:rPr>
                  <w:rStyle w:val="InternetLink"/>
                  <w:rFonts w:ascii="Times New Roman" w:hAnsi="Times New Roman"/>
                  <w:color w:val="0000FF"/>
                  <w:sz w:val="20"/>
                  <w:u w:val="single"/>
                </w:rPr>
                <w:t>SPECIAL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S-7</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div_policy">
              <w:r>
                <w:rPr>
                  <w:rStyle w:val="InternetLink"/>
                  <w:rFonts w:ascii="Times New Roman" w:hAnsi="Times New Roman"/>
                  <w:color w:val="0000FF"/>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S-8</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dilution">
              <w:r>
                <w:rPr>
                  <w:rStyle w:val="InternetLink"/>
                  <w:rFonts w:ascii="Times New Roman" w:hAnsi="Times New Roman"/>
                  <w:color w:val="0000FF"/>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S-9</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ection9">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S-10</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desc_of_secur">
              <w:r>
                <w:rPr>
                  <w:rStyle w:val="InternetLink"/>
                  <w:rFonts w:ascii="Times New Roman" w:hAnsi="Times New Roman"/>
                  <w:color w:val="0000FF"/>
                  <w:sz w:val="20"/>
                  <w:u w:val="single"/>
                </w:rPr>
                <w:t>DESCRIPTION OF SECURITIES WE ARE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S-11</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plan_of_dist">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S-14</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section14">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S-16</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S-17</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more_information">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S-18</w:t>
            </w:r>
          </w:p>
        </w:tc>
      </w:tr>
      <w:tr>
        <w:trPr/>
        <w:tc>
          <w:tcPr>
            <w:tcW w:w="5851" w:type="dxa"/>
            <w:tcBorders/>
            <w:tcMar>
              <w:top w:w="0" w:type="dxa"/>
              <w:left w:w="0" w:type="dxa"/>
              <w:bottom w:w="0" w:type="dxa"/>
              <w:right w:w="0" w:type="dxa"/>
            </w:tcMar>
            <w:vAlign w:val="center"/>
          </w:tcPr>
          <w:p>
            <w:pPr>
              <w:pStyle w:val="TableContents"/>
              <w:bidi w:val="0"/>
              <w:spacing w:before="53" w:after="30"/>
              <w:jc w:val="left"/>
              <w:rPr/>
            </w:pPr>
            <w:hyperlink w:anchor="incorp_by_ref">
              <w:r>
                <w:rPr>
                  <w:rStyle w:val="InternetLink"/>
                  <w:rFonts w:ascii="Times New Roman" w:hAnsi="Times New Roman"/>
                  <w:color w:val="0000FF"/>
                  <w:sz w:val="20"/>
                  <w:u w:val="single"/>
                </w:rPr>
                <w:t>INCORPORATION OF DOCUMENTS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S-19</w:t>
            </w:r>
          </w:p>
        </w:tc>
      </w:tr>
    </w:tbl>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PROSPECTUS</w:t>
      </w:r>
    </w:p>
    <w:p>
      <w:pPr>
        <w:pStyle w:val="TextBody"/>
        <w:bidi w:val="0"/>
        <w:spacing w:before="0" w:after="100"/>
        <w:jc w:val="center"/>
        <w:rPr/>
      </w:pPr>
      <w:r>
        <w:rPr/>
        <w:t> </w:t>
      </w:r>
    </w:p>
    <w:tbl>
      <w:tblPr>
        <w:tblW w:w="6493" w:type="dxa"/>
        <w:jc w:val="left"/>
        <w:tblInd w:w="0" w:type="dxa"/>
        <w:tblLayout w:type="fixed"/>
        <w:tblCellMar>
          <w:top w:w="28" w:type="dxa"/>
          <w:left w:w="28" w:type="dxa"/>
          <w:bottom w:w="28" w:type="dxa"/>
          <w:right w:w="28" w:type="dxa"/>
        </w:tblCellMar>
      </w:tblPr>
      <w:tblGrid>
        <w:gridCol w:w="5701"/>
        <w:gridCol w:w="146"/>
        <w:gridCol w:w="646"/>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4"/>
              </w:rPr>
            </w:pPr>
            <w:r>
              <w:rPr>
                <w:rFonts w:ascii="Times New Roman" w:hAnsi="Times New Roman"/>
                <w:b/>
                <w:color w:val="000000"/>
                <w:sz w:val="24"/>
              </w:rPr>
              <w:t>Page</w:t>
            </w:r>
          </w:p>
        </w:tc>
      </w:tr>
      <w:tr>
        <w:trPr/>
        <w:tc>
          <w:tcPr>
            <w:tcW w:w="5701" w:type="dxa"/>
            <w:tcBorders/>
            <w:tcMar>
              <w:top w:w="0" w:type="dxa"/>
              <w:left w:w="0" w:type="dxa"/>
              <w:bottom w:w="0" w:type="dxa"/>
              <w:right w:w="0" w:type="dxa"/>
            </w:tcMar>
            <w:vAlign w:val="center"/>
          </w:tcPr>
          <w:p>
            <w:pPr>
              <w:pStyle w:val="TableContents"/>
              <w:bidi w:val="0"/>
              <w:spacing w:before="33" w:after="30"/>
              <w:jc w:val="left"/>
              <w:rPr/>
            </w:pPr>
            <w:hyperlink w:anchor="section4_1">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3</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5_1">
              <w:r>
                <w:rPr>
                  <w:rStyle w:val="InternetLink"/>
                  <w:rFonts w:ascii="Times New Roman" w:hAnsi="Times New Roman"/>
                  <w:color w:val="0000FF"/>
                  <w:sz w:val="20"/>
                  <w:u w:val="single"/>
                </w:rPr>
                <w:t>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6_1">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11</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fwd_looking_stmts">
              <w:r>
                <w:rPr>
                  <w:rStyle w:val="InternetLink"/>
                  <w:rFonts w:ascii="Times New Roman" w:hAnsi="Times New Roman"/>
                  <w:color w:val="0000FF"/>
                  <w:sz w:val="20"/>
                  <w:u w:val="single"/>
                </w:rPr>
                <w:t>DISCLOSURE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12</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8_1">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13</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9_1">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0_1">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1_1">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2_1">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3_1">
              <w:r>
                <w:rPr>
                  <w:rStyle w:val="InternetLink"/>
                  <w:rFonts w:ascii="Times New Roman" w:hAnsi="Times New Roman"/>
                  <w:color w:val="0000FF"/>
                  <w:sz w:val="20"/>
                  <w:u w:val="single"/>
                </w:rPr>
                <w:t>LEGAL OWNERSHIP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28</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4_1">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32</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legalmatters1">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35</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6_1">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7_1">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37</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8">
              <w:r>
                <w:rPr>
                  <w:rStyle w:val="InternetLink"/>
                  <w:rFonts w:ascii="Times New Roman" w:hAnsi="Times New Roman"/>
                  <w:color w:val="0000FF"/>
                  <w:sz w:val="20"/>
                  <w:u w:val="single"/>
                </w:rPr>
                <w:t>INCORPORATION OF DOCUMENTS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4" w:name="section4"/>
      <w:bookmarkEnd w:id="4"/>
      <w:r>
        <w:rPr>
          <w:rFonts w:ascii="Times New Roman" w:hAnsi="Times New Roman"/>
          <w:b/>
          <w:color w:val="000000"/>
          <w:sz w:val="24"/>
        </w:rPr>
        <w:t>ABOUT THIS PROSPECTUS SUPPLEMENT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and the accompanying prospectus are part of a registration statement that we filed with the U.S. Securities and Exchange Commission utilizing a “shelf” registration process. This document is in two parts. The first part is this prospectus supplement, which describes the specific terms of this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pStyle w:val="TextBody"/>
        <w:bidi w:val="0"/>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both"/>
        <w:rPr>
          <w:rFonts w:ascii="Times New Roman" w:hAnsi="Times New Roman"/>
          <w:color w:val="000000"/>
          <w:sz w:val="20"/>
        </w:rPr>
      </w:pPr>
      <w:r>
        <w:rPr>
          <w:rFonts w:ascii="Times New Roman" w:hAnsi="Times New Roman"/>
          <w:color w:val="000000"/>
          <w:sz w:val="20"/>
        </w:rPr>
        <w:t>You should rely only on the information contained in this prospectus supplement or the accompanying prospectus, or incorporated by reference herein. We have not authorized, and the Placement Agent has not authorized, anyone to provide you with information that is different.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Documents By Reference” in this prospectus supplement and in the accompanying prospectus, respectively.</w:t>
      </w:r>
    </w:p>
    <w:p>
      <w:pPr>
        <w:pStyle w:val="TextBody"/>
        <w:bidi w:val="0"/>
        <w:jc w:val="both"/>
        <w:rPr>
          <w:rFonts w:ascii="Times New Roman" w:hAnsi="Times New Roman"/>
          <w:color w:val="000000"/>
          <w:sz w:val="20"/>
        </w:rPr>
      </w:pPr>
      <w:r>
        <w:rPr>
          <w:rFonts w:ascii="Times New Roman" w:hAnsi="Times New Roman"/>
          <w:color w:val="000000"/>
          <w:sz w:val="20"/>
        </w:rPr>
        <w:t>We are offering to sell, and seeking offers to buy, the securities offered by this prospectus supplement only in jurisdictions where offers and sales are permitted. The distribution of this prospectus supplement and the accompanying prospectus and the offering of the securities offered by this prospectus supplement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jc w:val="both"/>
        <w:rPr>
          <w:rFonts w:ascii="Times New Roman" w:hAnsi="Times New Roman"/>
          <w:color w:val="000000"/>
          <w:sz w:val="20"/>
        </w:rPr>
      </w:pPr>
      <w:r>
        <w:rPr>
          <w:rFonts w:ascii="Times New Roman" w:hAnsi="Times New Roman"/>
          <w:color w:val="000000"/>
          <w:sz w:val="20"/>
        </w:rPr>
        <w:t>All references in this prospectus supplement and the accompanying prospectus to “Cardiff,” the “Company,” “we,” “us,” “our,” or similar terms refer to Cardiff Oncology, Inc. and its subsidiary taken as a whole, except where the context otherwise requires or as otherwise indicated.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5" w:name="section6"/>
      <w:bookmarkEnd w:id="5"/>
      <w:r>
        <w:rPr/>
        <w:t> </w:t>
      </w:r>
    </w:p>
    <w:p>
      <w:pPr>
        <w:pStyle w:val="TextBody"/>
        <w:bidi w:val="0"/>
        <w:jc w:val="center"/>
        <w:rPr>
          <w:rFonts w:ascii="Times New Roman" w:hAnsi="Times New Roman"/>
          <w:b/>
          <w:color w:val="000000"/>
          <w:sz w:val="24"/>
        </w:rPr>
      </w:pPr>
      <w:r>
        <w:rPr>
          <w:rFonts w:ascii="Times New Roman" w:hAnsi="Times New Roman"/>
          <w:b/>
          <w:color w:val="000000"/>
          <w:sz w:val="24"/>
        </w:rPr>
        <w:t>PROSPECTUS SUPPLEMENT SUMMARY</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securities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the financial statements, and related notes, and the other information incorporated by reference herein and therein.</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advancing innovative cancer treatments focused on PLK1 inhibition, a validated oncology drug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investigator-initiated trials such as metastatic pancreatic ductal adenocarcinoma ("mPDAC"), small cell lung cancer ("SCLC"), and metastatic triple negative breast cancer ("mTNBC"). Additionally, onvansertib has also shown robust single agent activity in an investigator-initiated trial in chronic myelomonocytic leukemia ("CMML"). These programs and our broader development strategy are designed to target tumor vulnerabilities in order to overcome treatment resistance and deliver improved clinical outcomes in patients. Our clinical development programs incorporate tumor genomics and biomarker assays to refine patient selection and assessment of patient response to treatment.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Lead Drug Candidate, Onvansertib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attributes of onvansertib and its early clinical evidence of favorable safety and efficacy, with expected on-target, manageable and tolerable side effects, may prove beneficial in addressing clinical therapeutic needs across a variety of cancers. Key attributes of onvansertib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Highly potent and highly selective against the PLK1 enzyme (IC</w:t>
      </w:r>
      <w:r>
        <w:rPr>
          <w:rFonts w:ascii="Times New Roman" w:hAnsi="Times New Roman"/>
          <w:color w:val="000000"/>
          <w:sz w:val="9"/>
        </w:rPr>
        <w:t>50</w:t>
      </w:r>
      <w:r>
        <w:rPr>
          <w:color w:val="000000"/>
        </w:rPr>
        <w:t xml:space="preserve"> </w:t>
      </w:r>
      <w:r>
        <w:rPr>
          <w:rFonts w:ascii="Times New Roman" w:hAnsi="Times New Roman"/>
          <w:color w:val="000000"/>
          <w:sz w:val="20"/>
        </w:rPr>
        <w:t>= 2nM; IC</w:t>
      </w:r>
      <w:r>
        <w:rPr>
          <w:rFonts w:ascii="Times New Roman" w:hAnsi="Times New Roman"/>
          <w:color w:val="000000"/>
          <w:sz w:val="9"/>
        </w:rPr>
        <w:t>50</w:t>
      </w:r>
      <w:r>
        <w:rPr>
          <w:color w:val="000000"/>
        </w:rPr>
        <w:t xml:space="preserve"> </w:t>
      </w:r>
      <w:r>
        <w:rPr>
          <w:rFonts w:ascii="Times New Roman" w:hAnsi="Times New Roman"/>
          <w:color w:val="000000"/>
          <w:sz w:val="20"/>
        </w:rPr>
        <w:t>is the concentration for 50% inhibition), compared to prior PLK1 inhibitors that were pan-inhibitors of several PLK targets. Low or no activity of onvansertib was observed on a panel of 63 kinases (IC</w:t>
      </w:r>
      <w:r>
        <w:rPr>
          <w:rFonts w:ascii="Times New Roman" w:hAnsi="Times New Roman"/>
          <w:color w:val="000000"/>
          <w:sz w:val="9"/>
        </w:rPr>
        <w:t>50</w:t>
      </w:r>
      <w:r>
        <w:rPr>
          <w:rFonts w:ascii="Times New Roman" w:hAnsi="Times New Roman"/>
          <w:color w:val="000000"/>
          <w:sz w:val="20"/>
        </w:rPr>
        <w:t>&gt;500 nM), including the PLK members PLK2 and PLK3 (IC</w:t>
      </w:r>
      <w:r>
        <w:rPr>
          <w:rFonts w:ascii="Times New Roman" w:hAnsi="Times New Roman"/>
          <w:color w:val="000000"/>
          <w:sz w:val="9"/>
        </w:rPr>
        <w:t>50</w:t>
      </w:r>
      <w:r>
        <w:rPr>
          <w:rFonts w:ascii="Times New Roman" w:hAnsi="Times New Roman"/>
          <w:color w:val="000000"/>
          <w:sz w:val="20"/>
        </w:rPr>
        <w:t>&gt;10,000 nM);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Orally bioavailable, allowing for relative ease and flexibility of dosing;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Relatively short drug half-life of 24 hours, allowing for flexible dosing and scheduling that has demonstrated a favorable safety profile across multiple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In vitro</w:t>
      </w:r>
      <w:r>
        <w:rPr>
          <w:rFonts w:ascii="Times New Roman" w:hAnsi="Times New Roman"/>
          <w:color w:val="000000"/>
          <w:sz w:val="20"/>
        </w:rPr>
        <w:t xml:space="preserve"> studies have shown synergistic effects when onvansertib was administered in combination with different cytotoxic agents including microtubule-targeting agents, topoisomerase 1 inhibitors, antimetabolites, alkylating agents, proteasome inhibitors, kinase inhibitors, PARP inhibitors, BCL-2 inhibitors, and androgen biosynthesis inhibitors.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w:t>
      </w:r>
      <w:r>
        <w:rPr>
          <w:rFonts w:ascii="Times New Roman" w:hAnsi="Times New Roman"/>
          <w:i/>
          <w:color w:val="000000"/>
          <w:sz w:val="20"/>
        </w:rPr>
        <w:t>in vivo</w:t>
      </w:r>
      <w:r>
        <w:rPr>
          <w:rFonts w:ascii="Times New Roman" w:hAnsi="Times New Roman"/>
          <w:color w:val="000000"/>
          <w:sz w:val="20"/>
        </w:rPr>
        <w:t xml:space="preserve"> combination studies have confirmed the positive results obtained </w:t>
      </w:r>
      <w:r>
        <w:rPr>
          <w:rFonts w:ascii="Times New Roman" w:hAnsi="Times New Roman"/>
          <w:i/>
          <w:color w:val="000000"/>
          <w:sz w:val="20"/>
        </w:rPr>
        <w:t>in vitro</w:t>
      </w:r>
      <w:r>
        <w:rPr>
          <w:rFonts w:ascii="Times New Roman" w:hAnsi="Times New Roman"/>
          <w:color w:val="000000"/>
          <w:sz w:val="20"/>
        </w:rPr>
        <w:t xml:space="preserve"> and additive or synergistic effects on efficacy have been observed in xenograft models of onvansertib in combination with irinotecan, 5-fluorouracil ("5-FU"), abiraterone, PARP inhibitors, venetoclax, paclitaxel, or bevacizumab. Combining onvansertib with standard of care ("SoC") cancer agents may provide opportunities for synergy with many cancer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several ongoing clinical trials of onvansertib in multiple indications: one trial (CRDF-004) in first-line treatment in patients with RAS-mutated mCRC, and investigator-initiated trials in first-line mPDAC, first-line CMML as monotherapy, second-line relapsed SCLC as monotherapy, and second-line unresectable locally advanced or metastatic TNBC.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center"/>
        <w:rPr/>
      </w:pPr>
      <w:r>
        <w:rPr/>
        <w:t> </w:t>
      </w:r>
    </w:p>
    <w:p>
      <w:pPr>
        <w:pStyle w:val="TextBody"/>
        <w:bidi w:val="0"/>
        <w:spacing w:before="0" w:after="0"/>
        <w:ind w:left="0" w:right="0" w:hanging="0"/>
        <w:jc w:val="center"/>
        <w:rPr>
          <w:rFonts w:ascii="Times New Roman" w:hAnsi="Times New Roman"/>
          <w:b/>
          <w:color w:val="000000"/>
          <w:sz w:val="24"/>
          <w:bdr w:val="single" w:sz="6" w:space="1" w:color="000000"/>
        </w:rPr>
      </w:pPr>
      <w:bookmarkStart w:id="6" w:name="section7"/>
      <w:bookmarkEnd w:id="6"/>
      <w:r>
        <w:rPr>
          <w:rFonts w:ascii="Times New Roman" w:hAnsi="Times New Roman"/>
          <w:b/>
          <w:color w:val="000000"/>
          <w:sz w:val="24"/>
          <w:bdr w:val="single" w:sz="6" w:space="1" w:color="000000"/>
        </w:rPr>
        <w:t>THE OFFERING</w:t>
      </w:r>
    </w:p>
    <w:tbl>
      <w:tblPr>
        <w:tblW w:w="10205" w:type="dxa"/>
        <w:jc w:val="left"/>
        <w:tblInd w:w="0" w:type="dxa"/>
        <w:tblLayout w:type="fixed"/>
        <w:tblCellMar>
          <w:top w:w="28" w:type="dxa"/>
          <w:left w:w="28" w:type="dxa"/>
          <w:bottom w:w="28" w:type="dxa"/>
          <w:right w:w="28" w:type="dxa"/>
        </w:tblCellMar>
      </w:tblPr>
      <w:tblGrid>
        <w:gridCol w:w="2173"/>
        <w:gridCol w:w="146"/>
        <w:gridCol w:w="7886"/>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6" w:type="dxa"/>
            <w:tcBorders/>
            <w:vAlign w:val="center"/>
          </w:tcPr>
          <w:p>
            <w:pPr>
              <w:pStyle w:val="TableContents"/>
              <w:bidi w:val="0"/>
              <w:spacing w:before="0" w:after="283"/>
              <w:jc w:val="left"/>
              <w:rPr>
                <w:sz w:val="4"/>
                <w:szCs w:val="4"/>
              </w:rPr>
            </w:pPr>
            <w:r>
              <w:rPr>
                <w:sz w:val="4"/>
                <w:szCs w:val="4"/>
              </w:rPr>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Common stock offered by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9,293,078 shares</w:t>
            </w:r>
          </w:p>
        </w:tc>
      </w:tr>
      <w:tr>
        <w:trPr/>
        <w:tc>
          <w:tcPr>
            <w:tcW w:w="2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Common Warrants being Offered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9,293,078 Common Warrants to purchase up to 9,293,078 shares of Common Stock. The Common Warrants shall be exercisable on and after the Initial Exercise Date, with an exercise price of $1.31 per share ($1.33 for Insiders) and a term of five and one-half years from the later of (i) six months from the date of issuance; and (ii) the Authorized Share Increase Date.</w:t>
            </w:r>
          </w:p>
        </w:tc>
      </w:tr>
      <w:tr>
        <w:trPr/>
        <w:tc>
          <w:tcPr>
            <w:tcW w:w="2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Offering Price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$1.05 per share and accompanying Common Warrant.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53" w:after="30"/>
              <w:jc w:val="both"/>
              <w:rPr/>
            </w:pPr>
            <w:r>
              <w:rPr/>
              <w: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Insider Offering Price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$1.455 per share and accompanying Common Warrant.</w:t>
            </w:r>
          </w:p>
        </w:tc>
      </w:tr>
      <w:tr>
        <w:trPr/>
        <w:tc>
          <w:tcPr>
            <w:tcW w:w="2173" w:type="dxa"/>
            <w:tcBorders/>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53" w:after="30"/>
              <w:jc w:val="both"/>
              <w:rPr/>
            </w:pPr>
            <w:r>
              <w:rPr/>
              <w: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Common stock to be outstanding immediately after this offering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77,795,248 shares (excluding shares of common stock issuable upon exercise of the Common Warrants and the Placement Agent Warrants).</w:t>
            </w:r>
          </w:p>
        </w:tc>
      </w:tr>
      <w:tr>
        <w:trPr/>
        <w:tc>
          <w:tcPr>
            <w:tcW w:w="2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43" w:after="20"/>
              <w:jc w:val="both"/>
              <w:rPr>
                <w:rFonts w:ascii="Times New Roman" w:hAnsi="Times New Roman"/>
                <w:color w:val="000000"/>
                <w:sz w:val="20"/>
              </w:rPr>
            </w:pPr>
            <w:r>
              <w:rPr>
                <w:rFonts w:ascii="Times New Roman" w:hAnsi="Times New Roman"/>
                <w:color w:val="000000"/>
                <w:sz w:val="20"/>
              </w:rPr>
              <w:t>We expect to receive net proceeds from this offering of approximately $9.1 million, after deducting the Placement Agent fees and estimated offering expenses payable by us. We intend to use the net proceeds for continuing operating expenses and working capital. See “Use of Proceeds.” on page S-10</w:t>
            </w:r>
          </w:p>
        </w:tc>
      </w:tr>
      <w:tr>
        <w:trPr/>
        <w:tc>
          <w:tcPr>
            <w:tcW w:w="2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43" w:after="20"/>
              <w:jc w:val="both"/>
              <w:rPr>
                <w:rFonts w:ascii="Times New Roman" w:hAnsi="Times New Roman"/>
                <w:color w:val="000000"/>
                <w:sz w:val="20"/>
              </w:rPr>
            </w:pPr>
            <w:r>
              <w:rPr>
                <w:rFonts w:ascii="Times New Roman" w:hAnsi="Times New Roman"/>
                <w:color w:val="000000"/>
                <w:sz w:val="20"/>
              </w:rPr>
              <w:t>See “Risk Factors” beginning on page S-5 of this prospectus supplement, page 11 of the accompanying prospectus and in the documents incorporated by reference into this prospectus supplement and accompanying base prospectus for a discussion of factors you should carefully consider before deciding to invest in our common stock.</w:t>
            </w:r>
          </w:p>
          <w:p>
            <w:pPr>
              <w:pStyle w:val="TableContents"/>
              <w:bidi w:val="0"/>
              <w:spacing w:before="23" w:after="20"/>
              <w:jc w:val="both"/>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in our securities involves a high degree of risk. You should read the “Risk Factors” section beginning on page S-5 of this prospectus supplement and page 11 of the accompanying prospectus and in the documents incorporated by reference in this prospectus supplement for a discussion of factors to consider before deciding to invest in our securities.</w:t>
            </w:r>
          </w:p>
        </w:tc>
      </w:tr>
      <w:tr>
        <w:trPr/>
        <w:tc>
          <w:tcPr>
            <w:tcW w:w="2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Nasdaq Capital Market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CRDF”. There is no established public trading market for the Common Warrants, and we do not expect a market to develop. In addition, we do not intend to apply for a listing of the Common Warrants on any national securities exchange or other nationally recognized trading system.</w:t>
            </w:r>
          </w:p>
        </w:tc>
      </w:tr>
    </w:tbl>
    <w:tbl>
      <w:tblPr>
        <w:tblW w:w="10205" w:type="dxa"/>
        <w:jc w:val="left"/>
        <w:tblInd w:w="0" w:type="dxa"/>
        <w:tblLayout w:type="fixed"/>
        <w:tblCellMar>
          <w:top w:w="28" w:type="dxa"/>
          <w:left w:w="28" w:type="dxa"/>
          <w:bottom w:w="28" w:type="dxa"/>
          <w:right w:w="28" w:type="dxa"/>
        </w:tblCellMar>
      </w:tblPr>
      <w:tblGrid>
        <w:gridCol w:w="319"/>
        <w:gridCol w:w="9886"/>
      </w:tblGrid>
      <w:tr>
        <w:trPr/>
        <w:tc>
          <w:tcPr>
            <w:tcW w:w="319" w:type="dxa"/>
            <w:tcBorders/>
            <w:vAlign w:val="center"/>
          </w:tcPr>
          <w:p>
            <w:pPr>
              <w:pStyle w:val="TableContents"/>
              <w:bidi w:val="0"/>
              <w:spacing w:before="0" w:after="283"/>
              <w:jc w:val="left"/>
              <w:rPr>
                <w:sz w:val="4"/>
                <w:szCs w:val="4"/>
              </w:rPr>
            </w:pPr>
            <w:r>
              <w:rPr>
                <w:sz w:val="4"/>
                <w:szCs w:val="4"/>
              </w:rPr>
            </w:r>
          </w:p>
        </w:tc>
        <w:tc>
          <w:tcPr>
            <w:tcW w:w="9886" w:type="dxa"/>
            <w:tcBorders/>
            <w:vAlign w:val="center"/>
          </w:tcPr>
          <w:p>
            <w:pPr>
              <w:pStyle w:val="TableContents"/>
              <w:bidi w:val="0"/>
              <w:spacing w:before="0" w:after="283"/>
              <w:jc w:val="left"/>
              <w:rPr>
                <w:sz w:val="4"/>
                <w:szCs w:val="4"/>
              </w:rPr>
            </w:pPr>
            <w:r>
              <w:rPr>
                <w:sz w:val="4"/>
                <w:szCs w:val="4"/>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shares of common stock to be outstanding immediately after this offering is based on 68,502,170 shares of our common stock outstanding as of July 14, 2026, and excludes, as of such date:</w:t>
            </w:r>
          </w:p>
        </w:tc>
      </w:tr>
    </w:tbl>
    <w:p>
      <w:pPr>
        <w:pStyle w:val="TextBody"/>
        <w:bidi w:val="0"/>
        <w:spacing w:before="0" w:after="0"/>
        <w:jc w:val="left"/>
        <w:rPr>
          <w:bdr w:val="single" w:sz="6" w:space="1" w:color="000000"/>
        </w:rPr>
      </w:pPr>
      <w:r>
        <w:rPr>
          <w:bdr w:val="single" w:sz="6" w:space="1" w:color="000000"/>
        </w:rPr>
        <w:t> </w:t>
      </w:r>
    </w:p>
    <w:tbl>
      <w:tblPr>
        <w:tblW w:w="9677" w:type="dxa"/>
        <w:jc w:val="left"/>
        <w:tblInd w:w="0" w:type="dxa"/>
        <w:tblLayout w:type="fixed"/>
        <w:tblCellMar>
          <w:top w:w="28" w:type="dxa"/>
          <w:left w:w="28" w:type="dxa"/>
          <w:bottom w:w="28" w:type="dxa"/>
          <w:right w:w="28" w:type="dxa"/>
        </w:tblCellMar>
      </w:tblPr>
      <w:tblGrid>
        <w:gridCol w:w="271"/>
        <w:gridCol w:w="9406"/>
      </w:tblGrid>
      <w:tr>
        <w:trPr/>
        <w:tc>
          <w:tcPr>
            <w:tcW w:w="27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432 shares of common stock issuable upon exercise of warrants with a weighted average exercise price of $348.48;</w:t>
            </w:r>
          </w:p>
        </w:tc>
      </w:tr>
    </w:tbl>
    <w:p>
      <w:pPr>
        <w:pStyle w:val="TextBody"/>
        <w:bidi w:val="0"/>
        <w:spacing w:before="0" w:after="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center"/>
        <w:rPr/>
      </w:pPr>
      <w:r>
        <w:rPr/>
        <w:t> </w:t>
      </w:r>
    </w:p>
    <w:tbl>
      <w:tblPr>
        <w:tblW w:w="10022" w:type="dxa"/>
        <w:jc w:val="left"/>
        <w:tblInd w:w="0" w:type="dxa"/>
        <w:tblLayout w:type="fixed"/>
        <w:tblCellMar>
          <w:top w:w="28" w:type="dxa"/>
          <w:left w:w="28" w:type="dxa"/>
          <w:bottom w:w="28" w:type="dxa"/>
          <w:right w:w="28" w:type="dxa"/>
        </w:tblCellMar>
      </w:tblPr>
      <w:tblGrid>
        <w:gridCol w:w="271"/>
        <w:gridCol w:w="9751"/>
      </w:tblGrid>
      <w:tr>
        <w:trPr/>
        <w:tc>
          <w:tcPr>
            <w:tcW w:w="271" w:type="dxa"/>
            <w:tcBorders/>
            <w:vAlign w:val="center"/>
          </w:tcPr>
          <w:p>
            <w:pPr>
              <w:pStyle w:val="TableContents"/>
              <w:bidi w:val="0"/>
              <w:spacing w:before="0" w:after="283"/>
              <w:jc w:val="left"/>
              <w:rPr>
                <w:sz w:val="4"/>
                <w:szCs w:val="4"/>
              </w:rPr>
            </w:pPr>
            <w:r>
              <w:rPr>
                <w:sz w:val="4"/>
                <w:szCs w:val="4"/>
              </w:rPr>
            </w:r>
          </w:p>
        </w:tc>
        <w:tc>
          <w:tcPr>
            <w:tcW w:w="97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10,929,508 shares of common stock issuable upon exercise of options with a weighted average exercise price of $3.60;</w:t>
            </w:r>
          </w:p>
        </w:tc>
      </w:tr>
    </w:tbl>
    <w:tbl>
      <w:tblPr>
        <w:tblW w:w="9422" w:type="dxa"/>
        <w:jc w:val="left"/>
        <w:tblInd w:w="0" w:type="dxa"/>
        <w:tblLayout w:type="fixed"/>
        <w:tblCellMar>
          <w:top w:w="28" w:type="dxa"/>
          <w:left w:w="28" w:type="dxa"/>
          <w:bottom w:w="28" w:type="dxa"/>
          <w:right w:w="28" w:type="dxa"/>
        </w:tblCellMar>
      </w:tblPr>
      <w:tblGrid>
        <w:gridCol w:w="271"/>
        <w:gridCol w:w="9151"/>
      </w:tblGrid>
      <w:tr>
        <w:trPr/>
        <w:tc>
          <w:tcPr>
            <w:tcW w:w="271" w:type="dxa"/>
            <w:tcBorders/>
            <w:vAlign w:val="center"/>
          </w:tcPr>
          <w:p>
            <w:pPr>
              <w:pStyle w:val="TableContents"/>
              <w:bidi w:val="0"/>
              <w:spacing w:before="0" w:after="283"/>
              <w:jc w:val="left"/>
              <w:rPr>
                <w:sz w:val="4"/>
                <w:szCs w:val="4"/>
              </w:rPr>
            </w:pPr>
            <w:r>
              <w:rPr>
                <w:sz w:val="4"/>
                <w:szCs w:val="4"/>
              </w:rPr>
            </w:r>
          </w:p>
        </w:tc>
        <w:tc>
          <w:tcPr>
            <w:tcW w:w="91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4,613,468 shares of common stock reserved for future issuance under our 2021 Omnibus Equity Incentive Plan;</w:t>
            </w:r>
          </w:p>
        </w:tc>
      </w:tr>
    </w:tbl>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9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9,293,078 shares of common stock issuable upon exercise of Common Warrants to be issued in connection with this offering at an exercise price of $1.31 per share ($1.33 for Insiders); and</w:t>
            </w:r>
          </w:p>
        </w:tc>
      </w:tr>
    </w:tbl>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9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464,654 shares of common stock issuable upon exercise of Placement Agent Warrants to be issued as compensation to the Placement Agent (or its designees) in connection with this offering at an exercise price of $1.3125 per share.</w:t>
            </w:r>
          </w:p>
        </w:tc>
      </w:tr>
    </w:tbl>
    <w:p>
      <w:pPr>
        <w:pStyle w:val="TextBody"/>
        <w:bidi w:val="0"/>
        <w:spacing w:before="0" w:after="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Unless otherwise indicated, all information in this prospectus supplement assumes no exercise of options or warrants described above and no exercise of the Common Warrants issued to the purchasers or the Placement Agent Warrants to be issued as compensation to the Placement Agent for this offering.</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7" w:name="risk_factors"/>
      <w:bookmarkEnd w:id="7"/>
      <w:r>
        <w:rPr>
          <w:rFonts w:ascii="Times New Roman" w:hAnsi="Times New Roman"/>
          <w:b/>
          <w:color w:val="000000"/>
          <w:sz w:val="20"/>
        </w:rPr>
        <w:t>RISK FACTORS</w:t>
      </w:r>
    </w:p>
    <w:p>
      <w:pPr>
        <w:pStyle w:val="TextBody"/>
        <w:bidi w:val="0"/>
        <w:jc w:val="both"/>
        <w:rPr>
          <w:rFonts w:ascii="Times New Roman" w:hAnsi="Times New Roman"/>
          <w:i/>
          <w:color w:val="000000"/>
          <w:sz w:val="20"/>
        </w:rPr>
      </w:pPr>
      <w:r>
        <w:rPr>
          <w:rFonts w:ascii="Times New Roman" w:hAnsi="Times New Roman"/>
          <w:i/>
          <w:color w:val="000000"/>
          <w:sz w:val="20"/>
        </w:rPr>
        <w:t>An investment in our securities involves a high degree of risk. Before deciding whether to invest in our securities, you should consider carefully the risks described below, together with other information in this prospectus supplement, the accompanying prospectus and the information and documents incorporated by reference. You should also consider the risks, uncertainties and assumptions discussed under the heading “Risk Factors” included in our most recent Annual Report on Form 10-K and the subsequent reports that we file with the SEC which are on file with the SEC and are incorporated herein by reference, and which may be amended, supplemented or superseded from time to time by other reports we file with the SEC in the future. If any of these risks actually occur, our business, financial condition, results of operations or cash flow could be adversely effected. This could cause the trading price of our common stock to decline, resulting in a loss of all or part of your investment. The risks and uncertainties described below are not the only ones facing us. Additional risks and uncertainties not presently known to us, or that we currently see as immaterial, may also harm our business. Please also read carefully the section below entitled “Special Note Regarding Forward-Looking Statements.”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This Offering and Our Common Stock</w:t>
      </w:r>
    </w:p>
    <w:p>
      <w:pPr>
        <w:pStyle w:val="TextBody"/>
        <w:bidi w:val="0"/>
        <w:jc w:val="both"/>
        <w:rPr>
          <w:rFonts w:ascii="Times New Roman" w:hAnsi="Times New Roman"/>
          <w:b/>
          <w:i/>
          <w:color w:val="000000"/>
          <w:sz w:val="20"/>
        </w:rPr>
      </w:pPr>
      <w:r>
        <w:rPr>
          <w:rFonts w:ascii="Times New Roman" w:hAnsi="Times New Roman"/>
          <w:b/>
          <w:i/>
          <w:color w:val="000000"/>
          <w:sz w:val="20"/>
        </w:rPr>
        <w:t>Our management team may invest or spend the proceeds raised in this offering in ways with which you may not agree or which may not yield a significant return.</w:t>
      </w:r>
    </w:p>
    <w:p>
      <w:pPr>
        <w:pStyle w:val="TextBody"/>
        <w:bidi w:val="0"/>
        <w:jc w:val="both"/>
        <w:rPr>
          <w:rFonts w:ascii="Times New Roman" w:hAnsi="Times New Roman"/>
          <w:color w:val="000000"/>
          <w:sz w:val="20"/>
        </w:rPr>
      </w:pPr>
      <w:r>
        <w:rPr>
          <w:rFonts w:ascii="Times New Roman" w:hAnsi="Times New Roman"/>
          <w:color w:val="000000"/>
          <w:sz w:val="20"/>
        </w:rPr>
        <w:t>Our management will have broad discretion over the use of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You will experience substantial dilution.</w:t>
      </w:r>
    </w:p>
    <w:p>
      <w:pPr>
        <w:pStyle w:val="TextBody"/>
        <w:bidi w:val="0"/>
        <w:jc w:val="both"/>
        <w:rPr>
          <w:rFonts w:ascii="Times New Roman" w:hAnsi="Times New Roman"/>
          <w:color w:val="000000"/>
          <w:sz w:val="20"/>
        </w:rPr>
      </w:pPr>
      <w:r>
        <w:rPr>
          <w:rFonts w:ascii="Times New Roman" w:hAnsi="Times New Roman"/>
          <w:color w:val="000000"/>
          <w:sz w:val="20"/>
        </w:rPr>
        <w:t>Based on an effective offering price of $1.08 per share, and a net tangible book value of $34.7 million, or approximately $0.51 per share of common stock, as of March 31, 2026, if you purchase securities in this offering, you will experience dilution of approximately $0.52 per share in the net tangible book value of the common stock you purchase representing the difference between our as adjusted net tangible book value per share after giving effect to this offering and the offering price per share of common stock. The exercise of outstanding stock options and warrants, including those sold in this offering, will result in further dilution of your investment.</w:t>
      </w:r>
    </w:p>
    <w:p>
      <w:pPr>
        <w:pStyle w:val="TextBody"/>
        <w:bidi w:val="0"/>
        <w:jc w:val="both"/>
        <w:rPr>
          <w:rFonts w:ascii="Times New Roman" w:hAnsi="Times New Roman"/>
          <w:b/>
          <w:i/>
          <w:color w:val="000000"/>
          <w:sz w:val="20"/>
        </w:rPr>
      </w:pPr>
      <w:r>
        <w:rPr>
          <w:rFonts w:ascii="Times New Roman" w:hAnsi="Times New Roman"/>
          <w:b/>
          <w:i/>
          <w:color w:val="000000"/>
          <w:sz w:val="20"/>
        </w:rPr>
        <w:t>If you purchase securities in this offering, you may also experience future dilution as a result of future equity offerings.</w:t>
      </w:r>
    </w:p>
    <w:p>
      <w:pPr>
        <w:pStyle w:val="TextBody"/>
        <w:bidi w:val="0"/>
        <w:jc w:val="both"/>
        <w:rPr>
          <w:rFonts w:ascii="Times New Roman" w:hAnsi="Times New Roman"/>
          <w:color w:val="000000"/>
          <w:sz w:val="20"/>
        </w:rPr>
      </w:pPr>
      <w:r>
        <w:rPr>
          <w:rFonts w:ascii="Times New Roman" w:hAnsi="Times New Roman"/>
          <w:color w:val="000000"/>
          <w:sz w:val="20"/>
        </w:rPr>
        <w:t>We expect that significant additional capital will be needed in the future to continue our planned operations, including research and development, increased marketing, hiring new personnel, commercializing our products, and continuing activities as an operating public company. To the extent we raise additional capital by issuing equity securities, our shareholders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shareholders, and new investors could gain rights superior to our existing shareholders.</w:t>
      </w:r>
    </w:p>
    <w:p>
      <w:pPr>
        <w:pStyle w:val="TextBody"/>
        <w:bidi w:val="0"/>
        <w:jc w:val="both"/>
        <w:rPr>
          <w:rFonts w:ascii="Times New Roman" w:hAnsi="Times New Roman"/>
          <w:b/>
          <w:i/>
          <w:color w:val="000000"/>
          <w:sz w:val="20"/>
        </w:rPr>
      </w:pPr>
      <w:r>
        <w:rPr>
          <w:rFonts w:ascii="Times New Roman" w:hAnsi="Times New Roman"/>
          <w:b/>
          <w:i/>
          <w:color w:val="000000"/>
          <w:sz w:val="20"/>
        </w:rPr>
        <w:t>We do not intend to pay cash dividends on our shares of common stock so any returns will be limited to the value of our shares.</w:t>
      </w:r>
    </w:p>
    <w:p>
      <w:pPr>
        <w:pStyle w:val="TextBody"/>
        <w:bidi w:val="0"/>
        <w:jc w:val="both"/>
        <w:rPr>
          <w:rFonts w:ascii="Times New Roman" w:hAnsi="Times New Roman"/>
          <w:color w:val="000000"/>
          <w:sz w:val="20"/>
        </w:rPr>
      </w:pPr>
      <w:r>
        <w:rPr>
          <w:rFonts w:ascii="Times New Roman" w:hAnsi="Times New Roman"/>
          <w:color w:val="000000"/>
          <w:sz w:val="20"/>
        </w:rPr>
        <w:t>We have never paid or declared any cash dividends on our common stock, and we do not anticipate paying any cash dividends on our common stock in the foreseeable future. We currently anticipate that we will retain future earnings for the development, operation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 Therefore, any return to shareholders will be limited to the increase, if any, of our share price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Holders of Common Warrants purchased in this offering will have no rights as holders of shares of our Common Stock until such holders exercise their Common Warrants to acquire shares of our Common Stock.</w:t>
      </w:r>
    </w:p>
    <w:p>
      <w:pPr>
        <w:pStyle w:val="TextBody"/>
        <w:bidi w:val="0"/>
        <w:jc w:val="both"/>
        <w:rPr>
          <w:rFonts w:ascii="Times New Roman" w:hAnsi="Times New Roman"/>
          <w:color w:val="000000"/>
          <w:sz w:val="20"/>
        </w:rPr>
      </w:pPr>
      <w:r>
        <w:rPr>
          <w:rFonts w:ascii="Times New Roman" w:hAnsi="Times New Roman"/>
          <w:color w:val="000000"/>
          <w:sz w:val="20"/>
        </w:rPr>
        <w:t>Until holders of the Common Warrants acquire shares of our Common Stock upon exercise of such Common Warrants, the holders will have no rights with respect to the Common Stock underlying such Common Warrants, such as voting rights or the rights to receive dividends. Upon exercise of the Common Warrants, the holders will be entitled to exercise the rights of a stockholder only as to matters for which the record date occurs after the exercise.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holders or beneficial holders of our Common Stock may not be permitted to exercise Common Warrants that they hold.</w:t>
      </w:r>
    </w:p>
    <w:p>
      <w:pPr>
        <w:pStyle w:val="TextBody"/>
        <w:bidi w:val="0"/>
        <w:jc w:val="both"/>
        <w:rPr>
          <w:rFonts w:ascii="Times New Roman" w:hAnsi="Times New Roman"/>
          <w:color w:val="000000"/>
          <w:sz w:val="20"/>
        </w:rPr>
      </w:pPr>
      <w:r>
        <w:rPr>
          <w:rFonts w:ascii="Times New Roman" w:hAnsi="Times New Roman"/>
          <w:color w:val="000000"/>
          <w:sz w:val="20"/>
        </w:rPr>
        <w:t>Holders of the Common Warrants will not be entitled to exercise any portion of any Common Warrant which, upon giving effect to such exercise, would cause the aggregate number of shares of Common Stock beneficially owned by the holder (together with its affiliates) to exceed 4.99% (or 9.99%) of the number of shares of Common Stock outstanding immediately after giving effect to the exercise, as such percentage ownership is determined in accordance with the terms of the Common Warrant. As a result, you may not be able to exercise your Common Warrant for shares of our Common Stock at a time when it would be financially beneficial for you to do so. In such circumstances, you could seek to sell your Common Warrants to realize value, but you may be unable to do so in the absence of an established trading market for the Common Warrants.</w:t>
      </w:r>
    </w:p>
    <w:p>
      <w:pPr>
        <w:pStyle w:val="TextBody"/>
        <w:bidi w:val="0"/>
        <w:jc w:val="both"/>
        <w:rPr>
          <w:rFonts w:ascii="Times New Roman" w:hAnsi="Times New Roman"/>
          <w:b/>
          <w:i/>
          <w:color w:val="000000"/>
          <w:sz w:val="20"/>
        </w:rPr>
      </w:pPr>
      <w:r>
        <w:rPr>
          <w:rFonts w:ascii="Times New Roman" w:hAnsi="Times New Roman"/>
          <w:b/>
          <w:i/>
          <w:color w:val="000000"/>
          <w:sz w:val="20"/>
        </w:rPr>
        <w:t>We are currently listed on The Nasdaq Capital Market. If we are unable to maintain listing of our securities on Nasdaq or any stock exchange, our stock price could be adversely affected and the liquidity of our stock and our ability to obtain financing could be impaired and it may be more difficult for our shareholders to sell their securities.</w:t>
      </w:r>
    </w:p>
    <w:p>
      <w:pPr>
        <w:pStyle w:val="TextBody"/>
        <w:bidi w:val="0"/>
        <w:jc w:val="both"/>
        <w:rPr>
          <w:rFonts w:ascii="Times New Roman" w:hAnsi="Times New Roman"/>
          <w:color w:val="000000"/>
          <w:sz w:val="20"/>
        </w:rPr>
      </w:pPr>
      <w:r>
        <w:rPr>
          <w:rFonts w:ascii="Times New Roman" w:hAnsi="Times New Roman"/>
          <w:color w:val="000000"/>
          <w:sz w:val="20"/>
        </w:rPr>
        <w:t>Although our common stock is currently listed on The Nasdaq Capital Market, we may not be able to continue to meet the exchange’s minimum listing requirements or those of any other national exchange. The Listing Rules of Nasdaq require listing issuers to comply with certain standards in order to remain listed on its exchange. If, for any reason, we should fail to maintain compliance with these listing standards and Nasdaq should delist our securities from trading on its exchange and we are unable to obtain listing on another national securities exchange, a reduction in some or all of the following may occur, each of which could have a material adverse effect on our shareholders:</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liquidity of our common stock;</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market price of our common stock;</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financing for the continuation of our operations;</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number of investors that will consider investing in our common stock;</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number of market makers in our common stock;</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availability of information concerning the trading prices and volume of our common stock; and</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number of broker-dealers willing to execute trades in shares of our common stock.</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8" w:name="special_note_regarding_for"/>
      <w:bookmarkEnd w:id="8"/>
      <w:r>
        <w:rPr>
          <w:rFonts w:ascii="Times New Roman" w:hAnsi="Times New Roman"/>
          <w:b/>
          <w:color w:val="000000"/>
          <w:sz w:val="20"/>
        </w:rPr>
        <w:t>SPECIAL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and the documents incorporated by reference herein contain forward-looking statements that are based on current management expectations. Statements other than statements of historical fact included in this prospectus supplement, including statements about us and the future growth and anticipated operating results and cash expenditures, are forward-looking statements within the meaning of Section 27A of the Securities Act of 1933 (“Securities Act”), as amended, and Section 21E of the Securities Exchange Act of 1934, as amended (“Exchange Act”). When used in this prospectus supplement the words “anticipate,” “objective,” “may,” “might,” “should,” “could,” “can,” “intend,” “expect,” “believe,” “estimate,” “predict,” “potential,” “plan” or the negative of these and similar expressions identify forward-looking statements. These statements reflect our current views with respect to uncertain future events and are based on imprecise estimates and assumptions and subject to risk and uncertainties. Given these uncertainties, you should not place undue reliance on these forward-looking statements. While we believe our plans, intentions and expectations reflected in those forward-looking statements are reasonable, these plans, intentions or expectations may not be achieved. Our actual results, performance or achievements could differ materially from those contemplated, expressed or implied by the forward-looking statements contained in, or incorporated by reference into, this prospectus supplement for a variety of reasons.</w:t>
      </w:r>
    </w:p>
    <w:p>
      <w:pPr>
        <w:pStyle w:val="TextBody"/>
        <w:bidi w:val="0"/>
        <w:jc w:val="both"/>
        <w:rPr>
          <w:rFonts w:ascii="Times New Roman" w:hAnsi="Times New Roman"/>
          <w:color w:val="000000"/>
          <w:sz w:val="20"/>
        </w:rPr>
      </w:pPr>
      <w:r>
        <w:rPr>
          <w:rFonts w:ascii="Times New Roman" w:hAnsi="Times New Roman"/>
          <w:color w:val="000000"/>
          <w:sz w:val="20"/>
        </w:rPr>
        <w:t>We urge investors to review carefully risks contained in the section of this prospectus entitled “Risk Factors” above as well as other risks and factors identified from time to time in our SEC filings in evaluating the forward-looking statements contained in this prospectus supplement. We caution investors not to place significant reliance on forward-looking statements contained in this document; such statements need to be evaluated in light of all the information contained herein.</w:t>
      </w:r>
    </w:p>
    <w:p>
      <w:pPr>
        <w:pStyle w:val="TextBody"/>
        <w:bidi w:val="0"/>
        <w:jc w:val="both"/>
        <w:rPr>
          <w:rFonts w:ascii="Times New Roman" w:hAnsi="Times New Roman"/>
          <w:color w:val="000000"/>
          <w:sz w:val="20"/>
        </w:rPr>
      </w:pPr>
      <w:r>
        <w:rPr>
          <w:rFonts w:ascii="Times New Roman" w:hAnsi="Times New Roman"/>
          <w:color w:val="000000"/>
          <w:sz w:val="20"/>
        </w:rPr>
        <w:t>All forward-looking statements attributable to us or persons acting on our behalf are expressly qualified in their entirety by the risk factors and other cautionary statements set forth, or incorporated by reference, in this prospectus supplement. Except as required by law, we are under no obligation, and we do not intend, to update any forward-looking statement, whether as result of new information, future events or otherwise.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9" w:name="div_policy"/>
      <w:bookmarkEnd w:id="9"/>
      <w:r>
        <w:rPr>
          <w:rFonts w:ascii="Times New Roman" w:hAnsi="Times New Roman"/>
          <w:b/>
          <w:color w:val="000000"/>
          <w:sz w:val="20"/>
        </w:rPr>
        <w:t>DIVIDEND POLICY</w:t>
      </w:r>
    </w:p>
    <w:p>
      <w:pPr>
        <w:pStyle w:val="TextBody"/>
        <w:bidi w:val="0"/>
        <w:jc w:val="both"/>
        <w:rPr>
          <w:rFonts w:ascii="Times New Roman" w:hAnsi="Times New Roman"/>
          <w:color w:val="000000"/>
          <w:sz w:val="20"/>
        </w:rPr>
      </w:pPr>
      <w:r>
        <w:rPr>
          <w:rFonts w:ascii="Times New Roman" w:hAnsi="Times New Roman"/>
          <w:color w:val="000000"/>
          <w:sz w:val="20"/>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0" w:name="dilution"/>
      <w:bookmarkEnd w:id="10"/>
      <w:r>
        <w:rPr>
          <w:rFonts w:ascii="Times New Roman" w:hAnsi="Times New Roman"/>
          <w:b/>
          <w:color w:val="000000"/>
          <w:sz w:val="20"/>
        </w:rPr>
        <w:t>DILUTION</w:t>
      </w:r>
    </w:p>
    <w:p>
      <w:pPr>
        <w:pStyle w:val="TextBody"/>
        <w:bidi w:val="0"/>
        <w:jc w:val="both"/>
        <w:rPr>
          <w:rFonts w:ascii="Times New Roman" w:hAnsi="Times New Roman"/>
          <w:color w:val="000000"/>
          <w:sz w:val="20"/>
        </w:rPr>
      </w:pPr>
      <w:r>
        <w:rPr>
          <w:rFonts w:ascii="Times New Roman" w:hAnsi="Times New Roman"/>
          <w:color w:val="000000"/>
          <w:sz w:val="20"/>
        </w:rPr>
        <w:t>If you purchase securities in the offering, you will experience immediate dilution to the extent of the difference between the effective offering price per share of $1.08 per share of common stock and accompanying Common Warrant and our as adjusted net tangible book value per share immediately after the offering. Net tangible book value per share is equal to the amount of our total tangible assets, less total liabilities, divided by the number of outstanding shares of our common stock. As of March 31, 2026, our net tangible book value was approximately $34.7 million, or approximately $0.51 per share.</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the sale by us in this offering of 9,293,078 shares of common stock and accompanying Common Warrants at an offering price of $1.08 per share and accompanying Common Warrants, after deducting estimated offering expenses and placement agent fees and expenses payable by us, our as adjusted net tangible book value as of March 31, 2026 was approximately $43.8 million, or $0.56 per share of our common stock. This represents an immediate increase in as adjusted net tangible book value to existing stockholders of $0.05 per share of our common stock and an immediate dilution to purchasers in this offering of $0.52 per share of our common stock.</w:t>
      </w:r>
    </w:p>
    <w:p>
      <w:pPr>
        <w:pStyle w:val="TextBody"/>
        <w:bidi w:val="0"/>
        <w:jc w:val="left"/>
        <w:rPr>
          <w:rFonts w:ascii="Times New Roman" w:hAnsi="Times New Roman"/>
          <w:color w:val="000000"/>
          <w:sz w:val="20"/>
        </w:rPr>
      </w:pPr>
      <w:r>
        <w:rPr>
          <w:rFonts w:ascii="Times New Roman" w:hAnsi="Times New Roman"/>
          <w:color w:val="000000"/>
          <w:sz w:val="20"/>
        </w:rPr>
        <w:t>The following table illustrates this per-share of our common stock dilution:</w:t>
      </w:r>
    </w:p>
    <w:tbl>
      <w:tblPr>
        <w:tblW w:w="10205" w:type="dxa"/>
        <w:jc w:val="left"/>
        <w:tblInd w:w="0" w:type="dxa"/>
        <w:tblLayout w:type="fixed"/>
        <w:tblCellMar>
          <w:top w:w="28" w:type="dxa"/>
          <w:left w:w="28" w:type="dxa"/>
          <w:bottom w:w="28" w:type="dxa"/>
          <w:right w:w="28" w:type="dxa"/>
        </w:tblCellMar>
      </w:tblPr>
      <w:tblGrid>
        <w:gridCol w:w="8535"/>
        <w:gridCol w:w="211"/>
        <w:gridCol w:w="466"/>
        <w:gridCol w:w="211"/>
        <w:gridCol w:w="466"/>
        <w:gridCol w:w="316"/>
      </w:tblGrid>
      <w:tr>
        <w:trPr/>
        <w:tc>
          <w:tcPr>
            <w:tcW w:w="8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offering price per share common stock and accompanying Common Warrant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8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tangible book value per share as of March 31, 2026</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adjusted net tangible book value per share of common stock, after giving effect to this offering</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as adjusted net tangible book value per share common stock to new investors participating in this offering</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16" w:type="dxa"/>
            <w:tcBorders>
              <w:bottom w:val="single" w:sz="12" w:space="0" w:color="000000"/>
            </w:tcBorders>
            <w:shd w:fill="CCEEFF" w:val="clear"/>
            <w:tcMar>
              <w:top w:w="0"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 Blended price of 8,571,429 shares of common stock at $1.05 for non-insiders and 721,649 shares of common stock at $1.455 for insiders.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extent that outstanding exercisable options or warrants are exercised, you may experience further dilution. In addition, we may need to raise additional capital and to the extent that we raise additional capital by issuing equity or convertible debt securities your ownership will be further diluted.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9"/>
        <w:gridCol w:w="9886"/>
      </w:tblGrid>
      <w:tr>
        <w:trPr/>
        <w:tc>
          <w:tcPr>
            <w:tcW w:w="319" w:type="dxa"/>
            <w:tcBorders/>
            <w:vAlign w:val="center"/>
          </w:tcPr>
          <w:p>
            <w:pPr>
              <w:pStyle w:val="TableContents"/>
              <w:bidi w:val="0"/>
              <w:spacing w:before="0" w:after="283"/>
              <w:jc w:val="left"/>
              <w:rPr>
                <w:sz w:val="4"/>
                <w:szCs w:val="4"/>
              </w:rPr>
            </w:pPr>
            <w:r>
              <w:rPr>
                <w:sz w:val="4"/>
                <w:szCs w:val="4"/>
              </w:rPr>
            </w:r>
          </w:p>
        </w:tc>
        <w:tc>
          <w:tcPr>
            <w:tcW w:w="9886" w:type="dxa"/>
            <w:tcBorders/>
            <w:vAlign w:val="center"/>
          </w:tcPr>
          <w:p>
            <w:pPr>
              <w:pStyle w:val="TableContents"/>
              <w:bidi w:val="0"/>
              <w:spacing w:before="0" w:after="283"/>
              <w:jc w:val="left"/>
              <w:rPr>
                <w:sz w:val="4"/>
                <w:szCs w:val="4"/>
              </w:rPr>
            </w:pPr>
            <w:r>
              <w:rPr>
                <w:sz w:val="4"/>
                <w:szCs w:val="4"/>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shares of common stock to be outstanding immediately after this offering is based on 68,369,896 shares of our common stock outstanding as of March 31, 2026, and excludes, as of such date:</w:t>
            </w:r>
          </w:p>
        </w:tc>
      </w:tr>
    </w:tbl>
    <w:tbl>
      <w:tblPr>
        <w:tblW w:w="9677" w:type="dxa"/>
        <w:jc w:val="left"/>
        <w:tblInd w:w="0" w:type="dxa"/>
        <w:tblLayout w:type="fixed"/>
        <w:tblCellMar>
          <w:top w:w="28" w:type="dxa"/>
          <w:left w:w="28" w:type="dxa"/>
          <w:bottom w:w="28" w:type="dxa"/>
          <w:right w:w="28" w:type="dxa"/>
        </w:tblCellMar>
      </w:tblPr>
      <w:tblGrid>
        <w:gridCol w:w="271"/>
        <w:gridCol w:w="9406"/>
      </w:tblGrid>
      <w:tr>
        <w:trPr/>
        <w:tc>
          <w:tcPr>
            <w:tcW w:w="27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432 shares of common stock issuable upon exercise of warrants with a weighted average exercise price of $348.48;</w:t>
            </w:r>
          </w:p>
        </w:tc>
      </w:tr>
    </w:tbl>
    <w:tbl>
      <w:tblPr>
        <w:tblW w:w="10022" w:type="dxa"/>
        <w:jc w:val="left"/>
        <w:tblInd w:w="0" w:type="dxa"/>
        <w:tblLayout w:type="fixed"/>
        <w:tblCellMar>
          <w:top w:w="28" w:type="dxa"/>
          <w:left w:w="28" w:type="dxa"/>
          <w:bottom w:w="28" w:type="dxa"/>
          <w:right w:w="28" w:type="dxa"/>
        </w:tblCellMar>
      </w:tblPr>
      <w:tblGrid>
        <w:gridCol w:w="271"/>
        <w:gridCol w:w="9751"/>
      </w:tblGrid>
      <w:tr>
        <w:trPr/>
        <w:tc>
          <w:tcPr>
            <w:tcW w:w="271" w:type="dxa"/>
            <w:tcBorders/>
            <w:vAlign w:val="center"/>
          </w:tcPr>
          <w:p>
            <w:pPr>
              <w:pStyle w:val="TableContents"/>
              <w:bidi w:val="0"/>
              <w:spacing w:before="0" w:after="283"/>
              <w:jc w:val="left"/>
              <w:rPr>
                <w:sz w:val="4"/>
                <w:szCs w:val="4"/>
              </w:rPr>
            </w:pPr>
            <w:r>
              <w:rPr>
                <w:sz w:val="4"/>
                <w:szCs w:val="4"/>
              </w:rPr>
            </w:r>
          </w:p>
        </w:tc>
        <w:tc>
          <w:tcPr>
            <w:tcW w:w="97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10,929,508 shares of common stock issuable upon exercise of options with a weighted average exercise price of $3.60;</w:t>
            </w:r>
          </w:p>
        </w:tc>
      </w:tr>
    </w:tbl>
    <w:tbl>
      <w:tblPr>
        <w:tblW w:w="9422" w:type="dxa"/>
        <w:jc w:val="left"/>
        <w:tblInd w:w="0" w:type="dxa"/>
        <w:tblLayout w:type="fixed"/>
        <w:tblCellMar>
          <w:top w:w="28" w:type="dxa"/>
          <w:left w:w="28" w:type="dxa"/>
          <w:bottom w:w="28" w:type="dxa"/>
          <w:right w:w="28" w:type="dxa"/>
        </w:tblCellMar>
      </w:tblPr>
      <w:tblGrid>
        <w:gridCol w:w="271"/>
        <w:gridCol w:w="9151"/>
      </w:tblGrid>
      <w:tr>
        <w:trPr/>
        <w:tc>
          <w:tcPr>
            <w:tcW w:w="271" w:type="dxa"/>
            <w:tcBorders/>
            <w:vAlign w:val="center"/>
          </w:tcPr>
          <w:p>
            <w:pPr>
              <w:pStyle w:val="TableContents"/>
              <w:bidi w:val="0"/>
              <w:spacing w:before="0" w:after="283"/>
              <w:jc w:val="left"/>
              <w:rPr>
                <w:sz w:val="4"/>
                <w:szCs w:val="4"/>
              </w:rPr>
            </w:pPr>
            <w:r>
              <w:rPr>
                <w:sz w:val="4"/>
                <w:szCs w:val="4"/>
              </w:rPr>
            </w:r>
          </w:p>
        </w:tc>
        <w:tc>
          <w:tcPr>
            <w:tcW w:w="91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4,613,468 shares of common stock reserved for future issuance under our 2021 Omnibus Equity Incentive Plan;</w:t>
            </w:r>
          </w:p>
        </w:tc>
      </w:tr>
    </w:tbl>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9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9,293,878 shares of common stock issuable upon exercise of Common Warrants issued in the offering at an exercise price of $1.31 per share ($1.33 for Insiders); and</w:t>
            </w:r>
          </w:p>
        </w:tc>
      </w:tr>
    </w:tbl>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9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464,654 shares of common stock issuable upon exercise of Placement Agent Warrants to be issued as compensation to the Placement Agent (or its designees) in connection with this offering at an exercise price of $1.3125 per share.</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bookmarkStart w:id="11" w:name="section9"/>
      <w:bookmarkEnd w:id="11"/>
      <w:r>
        <w:rPr>
          <w:rFonts w:ascii="Times New Roman" w:hAnsi="Times New Roman"/>
          <w:b/>
          <w:color w:val="000000"/>
          <w:sz w:val="24"/>
        </w:rPr>
        <w:t>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receive net proceeds from this offering of approximately $9.1 million, after deducting the Placement Agent fees and estimated offering expenses payable by us.</w:t>
      </w:r>
    </w:p>
    <w:p>
      <w:pPr>
        <w:pStyle w:val="TextBody"/>
        <w:bidi w:val="0"/>
        <w:jc w:val="both"/>
        <w:rPr>
          <w:rFonts w:ascii="Times New Roman" w:hAnsi="Times New Roman"/>
          <w:color w:val="000000"/>
          <w:sz w:val="20"/>
        </w:rPr>
      </w:pPr>
      <w:r>
        <w:rPr>
          <w:rFonts w:ascii="Times New Roman" w:hAnsi="Times New Roman"/>
          <w:color w:val="000000"/>
          <w:sz w:val="20"/>
        </w:rPr>
        <w:t>We currently intend to use the net proceeds from the sale of the securities offered hereby for general corporate and working capital purposes. This expected use of net proceeds from this offering and our existing cash represents our intentions based upon our current plans and business conditions, which could change in the future as our plans and business conditions evolve. The amounts and timing of our actual expenditures may vary significantly depending on numerous factors. As a result, our management will retain broad discretion over the allocation of the net proceeds from this offering.</w:t>
      </w:r>
    </w:p>
    <w:p>
      <w:pPr>
        <w:pStyle w:val="TextBody"/>
        <w:bidi w:val="0"/>
        <w:jc w:val="both"/>
        <w:rPr>
          <w:rFonts w:ascii="Times New Roman" w:hAnsi="Times New Roman"/>
          <w:color w:val="000000"/>
          <w:sz w:val="20"/>
        </w:rPr>
      </w:pPr>
      <w:r>
        <w:rPr>
          <w:rFonts w:ascii="Times New Roman" w:hAnsi="Times New Roman"/>
          <w:color w:val="000000"/>
          <w:sz w:val="20"/>
        </w:rPr>
        <w:t>As of the date of this prospectus supplement, we cannot predict with certainty all the uses for the net proceeds to be received upon the completion of this offering or the amounts we will spend on the uses set forth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2" w:name="desc_of_secur"/>
      <w:bookmarkEnd w:id="12"/>
      <w:r>
        <w:rPr>
          <w:rFonts w:ascii="Times New Roman" w:hAnsi="Times New Roman"/>
          <w:b/>
          <w:color w:val="000000"/>
          <w:sz w:val="20"/>
        </w:rPr>
        <w:t>DESCRIPTION OF SECURITIES WE ARE OFFERING</w:t>
      </w:r>
    </w:p>
    <w:p>
      <w:pPr>
        <w:pStyle w:val="TextBody"/>
        <w:bidi w:val="0"/>
        <w:jc w:val="both"/>
        <w:rPr>
          <w:rFonts w:ascii="Times New Roman" w:hAnsi="Times New Roman"/>
          <w:color w:val="000000"/>
          <w:sz w:val="20"/>
        </w:rPr>
      </w:pPr>
      <w:r>
        <w:rPr>
          <w:rFonts w:ascii="Times New Roman" w:hAnsi="Times New Roman"/>
          <w:color w:val="000000"/>
          <w:sz w:val="20"/>
        </w:rPr>
        <w:t>We are offering shares of common stock. The following description of our shares of common stock summarizes the material terms of the shares of common stock we are offering under this prospectus supplement and the accompanying prospectus.</w:t>
      </w:r>
    </w:p>
    <w:p>
      <w:pPr>
        <w:pStyle w:val="TextBody"/>
        <w:bidi w:val="0"/>
        <w:jc w:val="both"/>
        <w:rPr>
          <w:rFonts w:ascii="Times New Roman" w:hAnsi="Times New Roman"/>
          <w:b/>
          <w:color w:val="000000"/>
          <w:sz w:val="20"/>
        </w:rPr>
      </w:pPr>
      <w:r>
        <w:rPr>
          <w:rFonts w:ascii="Times New Roman" w:hAnsi="Times New Roman"/>
          <w:b/>
          <w:color w:val="000000"/>
          <w:sz w:val="20"/>
        </w:rPr>
        <w:t>Common Stock</w:t>
      </w:r>
    </w:p>
    <w:p>
      <w:pPr>
        <w:pStyle w:val="TextBody"/>
        <w:bidi w:val="0"/>
        <w:jc w:val="both"/>
        <w:rPr>
          <w:rFonts w:ascii="Times New Roman" w:hAnsi="Times New Roman"/>
          <w:color w:val="000000"/>
          <w:sz w:val="20"/>
        </w:rPr>
      </w:pPr>
      <w:r>
        <w:rPr>
          <w:rFonts w:ascii="Times New Roman" w:hAnsi="Times New Roman"/>
          <w:color w:val="000000"/>
          <w:sz w:val="20"/>
        </w:rPr>
        <w:t>For a description of the rights associated with the common stock, see “Description of Capital Stock” in the accompanying prospectus. Our common stock is listed on The Nasdaq Capital Market under the symbol “CRDF.” Our transfer agent is Pacific Stock Transfer Company, Inc.</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Common Warrants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summary of certain terms and provisions of the Common Warrants is not complete and is subject to, and qualified in its entirety by, the provisions of the form of Common Warrant, which is filed as an exhibit to the Current Report on Form 8-K that we will file with the SEC in connection with this offering. Prospective investors should carefully review the terms and provisions of the form of Common Warrant for a complete description of the terms and conditions of the Common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Warrants will be issued in certificated form pursuant to the securities purchase agreement dated July 14, 2026. The exercise price per share of Common Stock under each Common Warrant will be $1.31 per share ($1.33 for Insiders), subject to adjustment as described below.</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Exercisability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Warrants will be exercisable on and after the later of (i) the date that is six months from the date of issuance and (ii) the Authorized Share Increase Date (the "Initial Exercise Date") and on or prior to 5:00 p.m. (New York City time) on the date that is the five and one-half anniversary of the Initial Exercise Date, provided that, if such date is not a Trading Day, then the date that is the immediately following Trading Day (the "Termination Date").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Cashless Exercise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at the time of exercise of a Common Warrant there is no effective registration statement registering, or the prospectus contained therein is not available for, the issuance of the Warrant Shares to the Holder, then the Common Warrant may also be exercised, in whole or in part, at such time by means of a "cashless exercise" in which the Holder shall be entitled to receive a number of Warrant Shares equal to the quotient obtained by dividing [(A-B)(X)] by (A), where (A) equals, as applicable, (i) the VWAP on the Trading Day immediately preceding the date of the applicable Notice of Exercise if such Notice of Exercise is delivered on a day that is not a Trading Day or prior to the opening of "regular trading hours" on such Trading Day, (ii) the highest Bid Price of the Common Stock on the principal Trading Market as reported by Bloomberg within two (2) hours of the time of the Holder's delivery of the Notice of Exercise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after two (2) hours following the close of "regular trading hours" on such Trading Day; (B) equals the Exercise Price, as adjusted; and (X) equals the number of Warrant Shares that would be issuable upon exercise of the Common Warrant if such exercise were by means of a cash exercise rather than a cashless exercise. If Warrant Shares are issued in such a cashless exercise, the Warrant Shares shall take on the registered characteristics of the Warrants being exercised in accordance with Section 3(a)(9) of the Securities Act.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Delivery of Common Warrant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shall cause the Warrant Shares purchased upon exercise of a Common Warrant to be transmitted by the Transfer Agent to the Holder by crediting the account of the Holder's or its designee's balance account with The Depository Trust Company through its Deposit or Withdrawal at Custodian system ("DWAC") if the Company is then a participant in such system and either (A) there is an effective registration statement permitting the issuance of the Warrant Shares to or resale of the Warrant Shares by the Holder, or (B) the Common Warrant is being exercised via cashless exercise, and otherwise by physical delivery of a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certificate, registered in the Company's share register in the name of the Holder or its designee, for the number of Warrant Shares to which the Holder is entitled, by the date that is the earlier of (i) one (1) Trading Day after the delivery of the Notice of Exercise and (ii) the number of Trading Days comprising the Standard Settlement Period after the delivery of the Notice of Exercise (the "Warrant Share Delivery Date").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Transferability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Warrants and all rights thereunder are transferable, in whole or in part, upon surrender of the Common Warrant at the principal office of the Company or its designated agent, together with a written assignment in the form attached to the Common Warrant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the Common Warrant not so assigned.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Fractional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or script representing fractional shares shall be issued upon the exercise of the Common Warrants.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Trading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Warrants are not and will not be listed for trading on any national securities exchange or other nationally recognized trading system. There is no established public trading market for the Common Warrants and we do not expect a market to develop.</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Fundamental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at any time while a Common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with another person or group of persons whereby such other person or group acquires greater than 50% of the outstanding shares of Common Stock or greater than 50% of the voting power of the common equity of the Company (each, a "Fundamental Transaction"), then, upon any subsequent exercise of the Common Warrant, the Holder shall have the right to receive, for each Warrant Share that would have been issuable upon such exercise immediately prior to the occurrence of such Fundamental Transaction, at the option of the Holder (without regard to the Beneficial Ownership Limitation),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the Common Warrant is exercisable immediately prior to such Fundamental Transaction. If holders of Common Stock are given any choice as to the securities, cash or property to be received in a Fundamental Transaction, then the Holder shall be given the same choice as to the Alternate Consideration it receives upon any exercise of the Common Warrant following such Fundamental Transaction. Additionally, as more fully described in the Common Warrants, in the event of certain fundamental transactions, the holders of the Common Warrants will be entitled to receive consideration in an amount equal to the Black Scholes value of Common Warrants on the date of consummation of such transaction.</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Rights as a Stockholder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Warrants do not entitle the Holder to any voting rights, dividends or other rights as a stockholder of the Company prior to the exercise thereof, except as expressly set forth in the adjustment provisions described above. In no event shall the Company be required to net cash settle an exercise of a Common Warrant.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3" w:name="plan_of_distruibution"/>
      <w:bookmarkStart w:id="14" w:name="plan_of_dist"/>
      <w:bookmarkEnd w:id="13"/>
      <w:bookmarkEnd w:id="14"/>
      <w:r>
        <w:rPr>
          <w:rFonts w:ascii="Times New Roman" w:hAnsi="Times New Roman"/>
          <w:b/>
          <w:color w:val="000000"/>
          <w:sz w:val="20"/>
        </w:rPr>
        <w:t>PLAN OF DISTRIBUTION</w:t>
      </w:r>
    </w:p>
    <w:p>
      <w:pPr>
        <w:pStyle w:val="TextBody"/>
        <w:bidi w:val="0"/>
        <w:jc w:val="both"/>
        <w:rPr>
          <w:rFonts w:ascii="Times New Roman" w:hAnsi="Times New Roman"/>
          <w:color w:val="000000"/>
          <w:sz w:val="20"/>
        </w:rPr>
      </w:pPr>
      <w:r>
        <w:rPr>
          <w:rFonts w:ascii="Times New Roman" w:hAnsi="Times New Roman"/>
          <w:color w:val="000000"/>
          <w:sz w:val="20"/>
        </w:rPr>
        <w:t>Pursuant to an engagement letter agreement, dated as of July 1, 2026, we have engaged H.C. Wainwright &amp; Co., LLC (the "Placement Agent") to act as our exclusive placement agent in connection with this offering. Under the terms of the engagement letter agreement, the Placement Agent has agreed to act as our exclusive placement agent, on a reasonable best efforts basis, in connection with the issuance and sale of the securities offered pursuant to this prospectus supplement and the accompanying prospectus. Therefore, we may not sell the entire amount of securities being offered. The terms of this offering were subject to market conditions and negotiations between us, the Placement Agent and prospective investors. The engagement letter agreement does not give rise to any commitment by the Placement Agent to purchase or sell any of our securities, and the Placement Agent will have no authority to bind us by virtue of the engagement letter agreement. The Placement Agent may retain other brokers, dealers or agents on its behalf in connection with this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Placement Agent proposes to arrange for the sale of shares of our common stock and accompanying Common Warrants to purchase shares of our common stock, which are being offered on a registered basis pursuant to this prospectus supplement and the accompanying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terms of the securities purchase agreement and subject to certain exceptions, we are prohibited from entering into any agreement to issue or announcing the issuance or proposed issuance of any shares of common stock or securities convertible or exercisable into common stock for a period commencing on the date of this prospectus supplement and expiring 60 days from the closing date of this offering. Additionally, our directors and executive officers have entered into lock-up agreements. Under these agreements, these individuals have agreed, subject to specified exceptions, not to sell or transfer any shares of common stock or securities convertible into, or exchangeable or exercisable for, our common stock during a period ending 60 days after the closing date of this offering. Specifically, these individuals have agreed, in part, not to:</w:t>
      </w:r>
    </w:p>
    <w:tbl>
      <w:tblPr>
        <w:tblW w:w="10205" w:type="dxa"/>
        <w:jc w:val="left"/>
        <w:tblInd w:w="0" w:type="dxa"/>
        <w:tblLayout w:type="fixed"/>
        <w:tblCellMar>
          <w:top w:w="28" w:type="dxa"/>
          <w:left w:w="28" w:type="dxa"/>
          <w:bottom w:w="28" w:type="dxa"/>
          <w:right w:w="28" w:type="dxa"/>
        </w:tblCellMar>
      </w:tblPr>
      <w:tblGrid>
        <w:gridCol w:w="161"/>
        <w:gridCol w:w="181"/>
        <w:gridCol w:w="9863"/>
      </w:tblGrid>
      <w:tr>
        <w:trPr/>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tcMar>
              <w:top w:w="0" w:type="dxa"/>
              <w:left w:w="0" w:type="dxa"/>
              <w:bottom w:w="0" w:type="dxa"/>
              <w:right w:w="0" w:type="dxa"/>
            </w:tcMar>
            <w:vAlign w:val="center"/>
          </w:tcPr>
          <w:p>
            <w:pPr>
              <w:pStyle w:val="TableContents"/>
              <w:bidi w:val="0"/>
              <w:spacing w:before="0" w:after="283"/>
              <w:jc w:val="both"/>
              <w:rPr>
                <w:rFonts w:ascii="Symbol;serif" w:hAnsi="Symbol;serif"/>
                <w:color w:val="000000"/>
                <w:sz w:val="20"/>
              </w:rPr>
            </w:pPr>
            <w:r>
              <w:rPr>
                <w:rFonts w:ascii="Symbol;serif" w:hAnsi="Symbol;serif"/>
                <w:color w:val="000000"/>
                <w:sz w:val="20"/>
              </w:rPr>
              <w:t>·</w:t>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offer, sell, contract to sell, hypothecate, pledge, sell any option or contract to purchase, purchase any option or contract to sell, grant any option, right or warrant to purchase or otherwise transfer or dispose of;</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tcMar>
              <w:top w:w="0" w:type="dxa"/>
              <w:left w:w="0" w:type="dxa"/>
              <w:bottom w:w="0" w:type="dxa"/>
              <w:right w:w="0" w:type="dxa"/>
            </w:tcMar>
            <w:vAlign w:val="center"/>
          </w:tcPr>
          <w:p>
            <w:pPr>
              <w:pStyle w:val="TableContents"/>
              <w:bidi w:val="0"/>
              <w:spacing w:before="0" w:after="283"/>
              <w:jc w:val="both"/>
              <w:rPr>
                <w:rFonts w:ascii="Symbol;serif" w:hAnsi="Symbol;serif"/>
                <w:color w:val="000000"/>
                <w:sz w:val="20"/>
              </w:rPr>
            </w:pPr>
            <w:r>
              <w:rPr>
                <w:rFonts w:ascii="Symbol;serif" w:hAnsi="Symbol;serif"/>
                <w:color w:val="000000"/>
                <w:sz w:val="20"/>
              </w:rPr>
              <w:t>·</w:t>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enter into any swap or any other agreement or any transaction which is designed to, or might reasonably be expected to, result in the disposition whether by actual disposition or effective economic disposition due to cash settlement or otherwise;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tcMar>
              <w:top w:w="0" w:type="dxa"/>
              <w:left w:w="0" w:type="dxa"/>
              <w:bottom w:w="0" w:type="dxa"/>
              <w:right w:w="0" w:type="dxa"/>
            </w:tcMar>
            <w:vAlign w:val="center"/>
          </w:tcPr>
          <w:p>
            <w:pPr>
              <w:pStyle w:val="TableContents"/>
              <w:bidi w:val="0"/>
              <w:spacing w:before="0" w:after="283"/>
              <w:jc w:val="both"/>
              <w:rPr>
                <w:rFonts w:ascii="Symbol;serif" w:hAnsi="Symbol;serif"/>
                <w:color w:val="000000"/>
                <w:sz w:val="20"/>
              </w:rPr>
            </w:pPr>
            <w:r>
              <w:rPr>
                <w:rFonts w:ascii="Symbol;serif" w:hAnsi="Symbol;serif"/>
                <w:color w:val="000000"/>
                <w:sz w:val="20"/>
              </w:rPr>
              <w:t>·</w:t>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directly or indirectly, or establish or increase a put equivalent position or liquidate or decrease a call equivalent position within the meaning of Section 16 of the Securities Exchange Act of 1934, as amended;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tcMar>
              <w:top w:w="0" w:type="dxa"/>
              <w:left w:w="0" w:type="dxa"/>
              <w:bottom w:w="0" w:type="dxa"/>
              <w:right w:w="0" w:type="dxa"/>
            </w:tcMar>
            <w:vAlign w:val="center"/>
          </w:tcPr>
          <w:p>
            <w:pPr>
              <w:pStyle w:val="TableContents"/>
              <w:bidi w:val="0"/>
              <w:spacing w:before="0" w:after="283"/>
              <w:jc w:val="both"/>
              <w:rPr>
                <w:rFonts w:ascii="Symbol;serif" w:hAnsi="Symbol;serif"/>
                <w:color w:val="000000"/>
                <w:sz w:val="20"/>
              </w:rPr>
            </w:pPr>
            <w:r>
              <w:rPr>
                <w:rFonts w:ascii="Symbol;serif" w:hAnsi="Symbol;serif"/>
                <w:color w:val="000000"/>
                <w:sz w:val="20"/>
              </w:rPr>
              <w:t>·</w:t>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publicly announce the intention to make any offer, sale, pledge or disposition, or to enter into any transaction, swap, hedge; or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tcMar>
              <w:top w:w="0" w:type="dxa"/>
              <w:left w:w="0" w:type="dxa"/>
              <w:bottom w:w="0" w:type="dxa"/>
              <w:right w:w="0" w:type="dxa"/>
            </w:tcMar>
            <w:vAlign w:val="center"/>
          </w:tcPr>
          <w:p>
            <w:pPr>
              <w:pStyle w:val="TableContents"/>
              <w:bidi w:val="0"/>
              <w:spacing w:before="0" w:after="283"/>
              <w:jc w:val="both"/>
              <w:rPr>
                <w:rFonts w:ascii="Symbol;serif" w:hAnsi="Symbol;serif"/>
                <w:color w:val="000000"/>
                <w:sz w:val="20"/>
              </w:rPr>
            </w:pPr>
            <w:r>
              <w:rPr>
                <w:rFonts w:ascii="Symbol;serif" w:hAnsi="Symbol;serif"/>
                <w:color w:val="000000"/>
                <w:sz w:val="20"/>
              </w:rPr>
              <w:t>·</w:t>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other arrangement relating to any of our securities.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from the date of the securities purchase agreement until ninety (90) days after the closing date of this offering, we are prohibited from effecting or entering into an agreement to effect any issuance of shares of our common stock or common stock equivalents involving a Variable Rate Transaction, as defined in the securities purchase agreement, which includes, among other things, any equity line of credit or "at-the-market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agreed to pay the Placement Agent a cash fee equal to 7.0% of the aggregate gross proceeds of this offering. We will also pay the Placement Agent $35,000 for non-accountable expenses, up to $50,000 for fees and expenses of its legal counsel and other out-of-pocket expenses, and closing costs not to exceed $15,950, which includes reimbursement of the out-of-pocket cost of the clearing agent. We estimate the total offering expenses of this offering that will be payable by us, excluding the cash fee payable to the Placement Agent but including all other Placement Agent fees and expenses, will be approximately $127,000.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have agreed to issue to the Placement Agent, or its designees, warrants (the "Placement Agent Warrants") to purchase up to a number of shares of our common stock equal to 5.0% of the aggregate number of shares of our common stock (or common stock equivalents) purchased in this offering. The Placement Agent Warrants shall have the same terms as the Common Warrants issued to investors in this offering, except that the Placement Agent Warrants shall have an exercise price per share equal to $1.3125 per share, representing 125% of the offering price per share in this offering and the Placement Agent Warrants will have a term of five (5) years from the commencement of sales pursuant to this offering. The Placement Agent Warrants and the shares of common stock issuable upon exercise of the Placement Agent Warrants are registered pursuant to this prospectus supplement and the accompanying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the Placement Agent a right of first refusal, for a period of six (6) months from the consummation of this offering (subject to FINRA Rule 5110(g)(6)(A)), to act as our sole book-running manager, sole underwriter or sole placement agent for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future debt financing or refinancing or capital raising transaction of equity, equity-linked or debt securities that we or any of our subsidiaries decide to pursue, subject to certain exceptions.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also agreed to pay the Placement Agent a tail cash fee equal to 7.0% of the gross proceeds and to issue Placement Agent Warrants covering 5.0% of the aggregate number of shares of securities sold in any offering consummated within the 12-month period following the termination or expiration of the engagement letter agreement, to the extent that any capital in such financing is provided by investors whom the Placement Agent had "wall crossed" during the term of the engagement letter, with all such investors being identified in writing by the Placement Agent and sent to us as soon as reasonably practicable after the closing of this offering or the expiration or termination of the engagement letter, as applicable.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agreed to indemnify the Placement Agent and specified other persons against certain liabilities relating to or arising out of the Placement Agent’s activities under the engagement letter agreement, including liabilities under the Securities Act, and to contribute to payments that the Placement Agent may be required to make in respect of such liabilities.</w:t>
      </w:r>
    </w:p>
    <w:p>
      <w:pPr>
        <w:pStyle w:val="TextBody"/>
        <w:bidi w:val="0"/>
        <w:jc w:val="both"/>
        <w:rPr>
          <w:rFonts w:ascii="Times New Roman" w:hAnsi="Times New Roman"/>
          <w:color w:val="000000"/>
          <w:sz w:val="20"/>
        </w:rPr>
      </w:pPr>
      <w:r>
        <w:rPr>
          <w:rFonts w:ascii="Times New Roman" w:hAnsi="Times New Roman"/>
          <w:color w:val="000000"/>
          <w:sz w:val="20"/>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securities by Wainwright acting as principal. Under these rules and regulations, the Placement Agent:</w:t>
      </w:r>
    </w:p>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may not engage in any stabilization activity in connection with our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may not bid for or purchase any of our securities or attempt to induce any person to purchase any of our securities, other than as permitted under the Exchange Act, until it has completed its participation in the distribution.</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The Placement Agent has provided and may in the future provide various advisory, investment and commercial banking and other services to us in the ordinary course of business, for which it has received and may continue to receive customary fees and commissions.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However, except as disclosed in this prospectus supplement, we have no present arrangements with the Placement Agent for any further services.</w:t>
      </w:r>
    </w:p>
    <w:p>
      <w:pPr>
        <w:pStyle w:val="TextBody"/>
        <w:bidi w:val="0"/>
        <w:jc w:val="left"/>
        <w:rPr>
          <w:rFonts w:ascii="Times New Roman" w:hAnsi="Times New Roman"/>
          <w:color w:val="000000"/>
          <w:sz w:val="20"/>
        </w:rPr>
      </w:pPr>
      <w:r>
        <w:rPr>
          <w:rFonts w:ascii="Times New Roman" w:hAnsi="Times New Roman"/>
          <w:color w:val="000000"/>
          <w:sz w:val="20"/>
        </w:rPr>
        <w:t>Our common stock is listed on The Nasdaq Capital Market under the symbol “CRDF.”</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5" w:name="section14"/>
      <w:bookmarkEnd w:id="15"/>
      <w:r>
        <w:rPr>
          <w:rFonts w:ascii="Times New Roman" w:hAnsi="Times New Roman"/>
          <w:b/>
          <w:color w:val="000000"/>
          <w:sz w:val="20"/>
        </w:rPr>
        <w:t>LEGAL MATTERS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validity of the shares of our common stock offered hereby will be passed upon for us by Sheppard, Mullin, Richter &amp; Hampton LLP, New York, New York. Ellenoff Grossman &amp; Schole LLP, New York, New York is counsel to the placement agent in connection with this offering.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6" w:name="experts"/>
      <w:bookmarkEnd w:id="16"/>
      <w:r>
        <w:rPr>
          <w:rFonts w:ascii="Times New Roman" w:hAnsi="Times New Roman"/>
          <w:b/>
          <w:color w:val="000000"/>
          <w:sz w:val="20"/>
        </w:rPr>
        <w:t>EXPERTS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consolidated financial statements as of and for the years ended December 31, 2025 and 2024, incorporated by reference in this prospectus supplement, have been audited by BDO USA, P.C., independent registered public accounting firm, as set forth in their report thereon incorporated by reference herein, and are included in reliance on such report given on the authority of such firm as experts in accounting and auditing. The report on the consolidated financial statements contains an explanatory paragraph regarding the Company's ability to continue as a going concern.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7" w:name="more_information"/>
      <w:bookmarkEnd w:id="17"/>
      <w:r>
        <w:rPr>
          <w:rFonts w:ascii="Times New Roman" w:hAnsi="Times New Roman"/>
          <w:b/>
          <w:color w:val="000000"/>
          <w:sz w:val="20"/>
        </w:rPr>
        <w:t>WHERE YOU CAN FIND MORE INFORMATION</w:t>
      </w:r>
    </w:p>
    <w:p>
      <w:pPr>
        <w:pStyle w:val="TextBody"/>
        <w:bidi w:val="0"/>
        <w:jc w:val="both"/>
        <w:rPr>
          <w:rFonts w:ascii="Times New Roman" w:hAnsi="Times New Roman"/>
          <w:color w:val="000000"/>
          <w:sz w:val="20"/>
        </w:rPr>
      </w:pPr>
      <w:r>
        <w:rPr>
          <w:rFonts w:ascii="Times New Roman" w:hAnsi="Times New Roman"/>
          <w:color w:val="000000"/>
          <w:sz w:val="20"/>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jc w:val="both"/>
        <w:rPr>
          <w:rFonts w:ascii="Times New Roman" w:hAnsi="Times New Roman"/>
          <w:sz w:val="20"/>
        </w:rPr>
      </w:pPr>
      <w:r>
        <w:rPr>
          <w:rFonts w:ascii="Times New Roman" w:hAnsi="Times New Roman"/>
          <w:color w:val="000000"/>
          <w:sz w:val="20"/>
        </w:rPr>
        <w:t xml:space="preserve">We file reports, proxy statements and other information with the SEC. The SEC maintains a website that contains reports, proxy and information statements and other information regarding issuers that file electronically with the SEC. The address of the SEC’s website is </w:t>
      </w:r>
      <w:r>
        <w:rPr>
          <w:rFonts w:ascii="Times New Roman" w:hAnsi="Times New Roman"/>
          <w:i/>
          <w:color w:val="000000"/>
          <w:sz w:val="20"/>
        </w:rPr>
        <w:t>www.sec.gov</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We make available free of charge on or through our website at </w:t>
      </w:r>
      <w:r>
        <w:rPr>
          <w:rFonts w:ascii="Times New Roman" w:hAnsi="Times New Roman"/>
          <w:i/>
          <w:color w:val="000000"/>
          <w:sz w:val="20"/>
        </w:rPr>
        <w:t>www.cardiffoncology.com</w:t>
      </w:r>
      <w:r>
        <w:rPr>
          <w:rFonts w:ascii="Times New Roman" w:hAnsi="Times New Roman"/>
          <w:color w:val="000000"/>
          <w:sz w:val="20"/>
        </w:rPr>
        <w:t>,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information on, or accessible through, our website is not part of, and is not incorporated into, this prospectus supplement or the accompanying prospectus and should not be considered part of this prospectus supplement or the accompanying prospectus.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8" w:name="incorp_by_ref"/>
      <w:bookmarkEnd w:id="18"/>
      <w:r>
        <w:rPr>
          <w:rFonts w:ascii="Times New Roman" w:hAnsi="Times New Roman"/>
          <w:b/>
          <w:color w:val="000000"/>
          <w:sz w:val="20"/>
        </w:rPr>
        <w:t>INCORPORATION OF DOCUMENTS BY REFERENCE</w:t>
      </w:r>
    </w:p>
    <w:p>
      <w:pPr>
        <w:pStyle w:val="TextBody"/>
        <w:bidi w:val="0"/>
        <w:jc w:val="both"/>
        <w:rPr>
          <w:rFonts w:ascii="Times New Roman" w:hAnsi="Times New Roman"/>
          <w:color w:val="000000"/>
          <w:sz w:val="20"/>
        </w:rPr>
      </w:pPr>
      <w:r>
        <w:rPr>
          <w:rFonts w:ascii="Times New Roman" w:hAnsi="Times New Roman"/>
          <w:color w:val="000000"/>
          <w:sz w:val="20"/>
        </w:rPr>
        <w:t>The SEC allows us to incorporate by reference into this prospectus supplement much of the information we file with the SEC, which means that we can disclose important information to you by referring you to those publicly available documents. The information that we incorporate by reference is considered to be part of this prospectus supplement and the accompanying prospectus. Because we are incorporating by reference future filings with the SEC, this prospectus supplement and the accompanying prospectus are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or the accompanying prospectus or in any document previously incorporated by reference have been modified or superseded. This prospectus supplement and the accompanying prospectus incorporate by reference the documents listed below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1"/>
        <w:gridCol w:w="436"/>
        <w:gridCol w:w="9428"/>
      </w:tblGrid>
      <w:tr>
        <w:trPr/>
        <w:tc>
          <w:tcPr>
            <w:tcW w:w="3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428" w:type="dxa"/>
            <w:tcBorders/>
            <w:vAlign w:val="center"/>
          </w:tcPr>
          <w:p>
            <w:pPr>
              <w:pStyle w:val="TableContents"/>
              <w:bidi w:val="0"/>
              <w:spacing w:before="0" w:after="283"/>
              <w:jc w:val="left"/>
              <w:rPr>
                <w:sz w:val="4"/>
                <w:szCs w:val="4"/>
              </w:rPr>
            </w:pPr>
            <w:r>
              <w:rPr>
                <w:sz w:val="4"/>
                <w:szCs w:val="4"/>
              </w:rPr>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36" w:type="dxa"/>
            <w:tcBorders/>
            <w:tcMar>
              <w:top w:w="0" w:type="dxa"/>
              <w:left w:w="0" w:type="dxa"/>
              <w:bottom w:w="0" w:type="dxa"/>
              <w:right w:w="0" w:type="dxa"/>
            </w:tcMar>
            <w:vAlign w:val="center"/>
          </w:tcPr>
          <w:p>
            <w:pPr>
              <w:pStyle w:val="TableContents"/>
              <w:bidi w:val="0"/>
              <w:spacing w:before="53" w:after="30"/>
              <w:ind w:left="0" w:right="0" w:firstLine="180"/>
              <w:jc w:val="center"/>
              <w:rPr>
                <w:color w:val="000000"/>
              </w:rPr>
            </w:pPr>
            <w:r>
              <w:rPr>
                <w:color w:val="000000"/>
              </w:rPr>
              <w:t>●</w:t>
            </w:r>
          </w:p>
        </w:tc>
        <w:tc>
          <w:tcPr>
            <w:tcW w:w="9428" w:type="dxa"/>
            <w:tcBorders/>
            <w:tcMar>
              <w:top w:w="0" w:type="dxa"/>
              <w:left w:w="0" w:type="dxa"/>
              <w:bottom w:w="0" w:type="dxa"/>
              <w:right w:w="0" w:type="dxa"/>
            </w:tcMar>
            <w:vAlign w:val="center"/>
          </w:tcPr>
          <w:p>
            <w:pPr>
              <w:pStyle w:val="TableContents"/>
              <w:bidi w:val="0"/>
              <w:spacing w:before="53" w:after="30"/>
              <w:jc w:val="both"/>
              <w:rPr/>
            </w:pPr>
            <w:r>
              <w:rPr>
                <w:rFonts w:ascii="Times New Roman" w:hAnsi="Times New Roman"/>
                <w:color w:val="000000"/>
                <w:sz w:val="20"/>
              </w:rPr>
              <w:t xml:space="preserve">our Annual Report on Form 10-K for the year ended December 31, 2025 filed with the SEC on </w:t>
            </w:r>
            <w:hyperlink r:id="rId3">
              <w:r>
                <w:rPr>
                  <w:rStyle w:val="InternetLink"/>
                  <w:rFonts w:ascii="Times New Roman" w:hAnsi="Times New Roman"/>
                  <w:color w:val="0000FF"/>
                  <w:sz w:val="20"/>
                  <w:u w:val="single"/>
                </w:rPr>
                <w:t>February 24, 2026</w:t>
              </w:r>
            </w:hyperlink>
            <w:r>
              <w:rPr>
                <w:rFonts w:ascii="Times New Roman" w:hAnsi="Times New Roman"/>
                <w:color w:val="000000"/>
                <w:sz w:val="20"/>
              </w:rPr>
              <w:t>;</w:t>
            </w:r>
          </w:p>
        </w:tc>
      </w:tr>
      <w:tr>
        <w:trPr/>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36" w:type="dxa"/>
            <w:tcBorders/>
            <w:tcMar>
              <w:top w:w="0" w:type="dxa"/>
              <w:left w:w="0" w:type="dxa"/>
              <w:bottom w:w="0" w:type="dxa"/>
              <w:right w:w="0" w:type="dxa"/>
            </w:tcMar>
            <w:vAlign w:val="center"/>
          </w:tcPr>
          <w:p>
            <w:pPr>
              <w:pStyle w:val="TableContents"/>
              <w:bidi w:val="0"/>
              <w:spacing w:before="53" w:after="30"/>
              <w:ind w:left="0" w:right="0" w:firstLine="180"/>
              <w:jc w:val="center"/>
              <w:rPr>
                <w:color w:val="000000"/>
              </w:rPr>
            </w:pPr>
            <w:r>
              <w:rPr>
                <w:color w:val="000000"/>
              </w:rPr>
              <w:t>●</w:t>
            </w:r>
          </w:p>
        </w:tc>
        <w:tc>
          <w:tcPr>
            <w:tcW w:w="9428" w:type="dxa"/>
            <w:tcBorders/>
            <w:tcMar>
              <w:top w:w="0" w:type="dxa"/>
              <w:left w:w="0" w:type="dxa"/>
              <w:bottom w:w="0" w:type="dxa"/>
              <w:right w:w="0" w:type="dxa"/>
            </w:tcMar>
            <w:vAlign w:val="center"/>
          </w:tcPr>
          <w:p>
            <w:pPr>
              <w:pStyle w:val="TableContents"/>
              <w:bidi w:val="0"/>
              <w:spacing w:before="53" w:after="30"/>
              <w:jc w:val="both"/>
              <w:rPr/>
            </w:pPr>
            <w:r>
              <w:rPr>
                <w:rFonts w:ascii="Times New Roman" w:hAnsi="Times New Roman"/>
                <w:color w:val="000000"/>
                <w:sz w:val="20"/>
              </w:rPr>
              <w:t xml:space="preserve">our Quarterly Report on Form 10-Q for the quarter ended March 31, 2026 filed with the SEC on </w:t>
            </w:r>
            <w:hyperlink r:id="rId4">
              <w:r>
                <w:rPr>
                  <w:rStyle w:val="InternetLink"/>
                  <w:rFonts w:ascii="Times New Roman" w:hAnsi="Times New Roman"/>
                  <w:color w:val="0000FF"/>
                  <w:sz w:val="20"/>
                  <w:u w:val="single"/>
                </w:rPr>
                <w:t>May 14, 2026</w:t>
              </w:r>
            </w:hyperlink>
            <w:r>
              <w:rPr>
                <w:rFonts w:ascii="Times New Roman" w:hAnsi="Times New Roman"/>
                <w:color w:val="000000"/>
                <w:sz w:val="20"/>
              </w:rPr>
              <w:t>;</w:t>
            </w:r>
          </w:p>
        </w:tc>
      </w:tr>
      <w:tr>
        <w:trPr/>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36" w:type="dxa"/>
            <w:tcBorders/>
            <w:tcMar>
              <w:top w:w="0" w:type="dxa"/>
              <w:left w:w="0" w:type="dxa"/>
              <w:bottom w:w="0" w:type="dxa"/>
              <w:right w:w="0" w:type="dxa"/>
            </w:tcMar>
            <w:vAlign w:val="center"/>
          </w:tcPr>
          <w:p>
            <w:pPr>
              <w:pStyle w:val="TableContents"/>
              <w:bidi w:val="0"/>
              <w:spacing w:before="53" w:after="30"/>
              <w:ind w:left="0" w:right="0" w:firstLine="180"/>
              <w:jc w:val="center"/>
              <w:rPr>
                <w:color w:val="000000"/>
              </w:rPr>
            </w:pPr>
            <w:r>
              <w:rPr>
                <w:color w:val="000000"/>
              </w:rPr>
              <w:t>●</w:t>
            </w:r>
          </w:p>
        </w:tc>
        <w:tc>
          <w:tcPr>
            <w:tcW w:w="9428" w:type="dxa"/>
            <w:tcBorders/>
            <w:tcMar>
              <w:top w:w="0" w:type="dxa"/>
              <w:left w:w="0" w:type="dxa"/>
              <w:bottom w:w="0" w:type="dxa"/>
              <w:right w:w="0" w:type="dxa"/>
            </w:tcMar>
            <w:vAlign w:val="center"/>
          </w:tcPr>
          <w:p>
            <w:pPr>
              <w:pStyle w:val="TableContents"/>
              <w:bidi w:val="0"/>
              <w:spacing w:before="53" w:after="30"/>
              <w:jc w:val="both"/>
              <w:rPr/>
            </w:pPr>
            <w:r>
              <w:rPr>
                <w:rFonts w:ascii="Times New Roman" w:hAnsi="Times New Roman"/>
                <w:color w:val="000000"/>
                <w:sz w:val="20"/>
              </w:rPr>
              <w:t xml:space="preserve">our Current Reports on Form 8-K filed with the SEC on </w:t>
            </w:r>
            <w:hyperlink r:id="rId5">
              <w:r>
                <w:rPr>
                  <w:rStyle w:val="InternetLink"/>
                  <w:rFonts w:ascii="Times New Roman" w:hAnsi="Times New Roman"/>
                  <w:color w:val="0000FF"/>
                  <w:sz w:val="20"/>
                  <w:u w:val="single"/>
                </w:rPr>
                <w:t>January 27,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April 2,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April 9,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May 19,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29, 2026</w:t>
              </w:r>
            </w:hyperlink>
            <w:r>
              <w:rPr>
                <w:rFonts w:ascii="Times New Roman" w:hAnsi="Times New Roman"/>
                <w:color w:val="000000"/>
                <w:sz w:val="20"/>
              </w:rPr>
              <w:t xml:space="preserve">, and </w:t>
            </w:r>
            <w:hyperlink r:id="rId10">
              <w:r>
                <w:rPr>
                  <w:rStyle w:val="InternetLink"/>
                  <w:rFonts w:ascii="Times New Roman" w:hAnsi="Times New Roman"/>
                  <w:color w:val="0000FF"/>
                  <w:sz w:val="20"/>
                  <w:u w:val="single"/>
                </w:rPr>
                <w:t>June 11, 2026</w:t>
              </w:r>
            </w:hyperlink>
            <w:r>
              <w:rPr>
                <w:rFonts w:ascii="Times New Roman" w:hAnsi="Times New Roman"/>
                <w:color w:val="000000"/>
                <w:sz w:val="20"/>
              </w:rPr>
              <w:t xml:space="preserve">; </w:t>
            </w:r>
          </w:p>
        </w:tc>
      </w:tr>
      <w:tr>
        <w:trPr/>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36" w:type="dxa"/>
            <w:tcBorders/>
            <w:tcMar>
              <w:top w:w="0" w:type="dxa"/>
              <w:left w:w="0" w:type="dxa"/>
              <w:bottom w:w="0" w:type="dxa"/>
              <w:right w:w="0" w:type="dxa"/>
            </w:tcMar>
            <w:vAlign w:val="center"/>
          </w:tcPr>
          <w:p>
            <w:pPr>
              <w:pStyle w:val="TableContents"/>
              <w:bidi w:val="0"/>
              <w:spacing w:before="53" w:after="30"/>
              <w:ind w:left="0" w:right="0" w:firstLine="180"/>
              <w:jc w:val="center"/>
              <w:rPr>
                <w:color w:val="000000"/>
              </w:rPr>
            </w:pPr>
            <w:r>
              <w:rPr>
                <w:color w:val="000000"/>
              </w:rPr>
              <w:t>●</w:t>
            </w:r>
          </w:p>
        </w:tc>
        <w:tc>
          <w:tcPr>
            <w:tcW w:w="9428" w:type="dxa"/>
            <w:tcBorders/>
            <w:tcMar>
              <w:top w:w="0" w:type="dxa"/>
              <w:left w:w="0" w:type="dxa"/>
              <w:bottom w:w="0" w:type="dxa"/>
              <w:right w:w="0" w:type="dxa"/>
            </w:tcMar>
            <w:vAlign w:val="center"/>
          </w:tcPr>
          <w:p>
            <w:pPr>
              <w:pStyle w:val="TableContents"/>
              <w:bidi w:val="0"/>
              <w:spacing w:before="53" w:after="30"/>
              <w:jc w:val="both"/>
              <w:rPr/>
            </w:pPr>
            <w:r>
              <w:rPr>
                <w:rFonts w:ascii="Times New Roman" w:hAnsi="Times New Roman"/>
                <w:color w:val="000000"/>
                <w:sz w:val="20"/>
              </w:rPr>
              <w:t xml:space="preserve">the portions of our definitive Proxy Statement on Schedule 14A for our 2026 annual meeting of stockholders filed with the SEC on </w:t>
            </w:r>
            <w:hyperlink r:id="rId11">
              <w:r>
                <w:rPr>
                  <w:rStyle w:val="InternetLink"/>
                  <w:rFonts w:ascii="Times New Roman" w:hAnsi="Times New Roman"/>
                  <w:color w:val="0000FF"/>
                  <w:sz w:val="20"/>
                  <w:u w:val="single"/>
                </w:rPr>
                <w:t>April 23, 2026</w:t>
              </w:r>
            </w:hyperlink>
            <w:r>
              <w:rPr>
                <w:rFonts w:ascii="Times New Roman" w:hAnsi="Times New Roman"/>
                <w:color w:val="000000"/>
                <w:sz w:val="20"/>
              </w:rPr>
              <w:t> that are deemed "filed" with the SEC under the Exchange Act; and</w:t>
            </w:r>
          </w:p>
        </w:tc>
      </w:tr>
      <w:tr>
        <w:trPr/>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36" w:type="dxa"/>
            <w:tcBorders/>
            <w:tcMar>
              <w:top w:w="0" w:type="dxa"/>
              <w:left w:w="0" w:type="dxa"/>
              <w:bottom w:w="0" w:type="dxa"/>
              <w:right w:w="0" w:type="dxa"/>
            </w:tcMar>
            <w:vAlign w:val="center"/>
          </w:tcPr>
          <w:p>
            <w:pPr>
              <w:pStyle w:val="TableContents"/>
              <w:bidi w:val="0"/>
              <w:spacing w:before="53" w:after="30"/>
              <w:ind w:left="0" w:right="0" w:firstLine="180"/>
              <w:jc w:val="center"/>
              <w:rPr>
                <w:color w:val="000000"/>
              </w:rPr>
            </w:pPr>
            <w:r>
              <w:rPr>
                <w:color w:val="000000"/>
              </w:rPr>
              <w:t>●</w:t>
            </w:r>
          </w:p>
        </w:tc>
        <w:tc>
          <w:tcPr>
            <w:tcW w:w="9428" w:type="dxa"/>
            <w:tcBorders/>
            <w:tcMar>
              <w:top w:w="0" w:type="dxa"/>
              <w:left w:w="0" w:type="dxa"/>
              <w:bottom w:w="0" w:type="dxa"/>
              <w:right w:w="0" w:type="dxa"/>
            </w:tcMar>
            <w:vAlign w:val="center"/>
          </w:tcPr>
          <w:p>
            <w:pPr>
              <w:pStyle w:val="TableContents"/>
              <w:bidi w:val="0"/>
              <w:spacing w:before="53" w:after="30"/>
              <w:jc w:val="left"/>
              <w:rPr/>
            </w:pPr>
            <w:r>
              <w:rPr>
                <w:rFonts w:ascii="Times New Roman" w:hAnsi="Times New Roman"/>
                <w:color w:val="000000"/>
                <w:sz w:val="20"/>
              </w:rPr>
              <w:t xml:space="preserve">the description of our common stock contained in our Registration Statement on Form 8-A filed with the Commission on </w:t>
            </w:r>
            <w:hyperlink r:id="rId12">
              <w:r>
                <w:rPr>
                  <w:rStyle w:val="InternetLink"/>
                  <w:rFonts w:ascii="Times New Roman" w:hAnsi="Times New Roman"/>
                  <w:color w:val="0000FF"/>
                  <w:sz w:val="20"/>
                  <w:u w:val="single"/>
                </w:rPr>
                <w:t>May 23, 2012</w:t>
              </w:r>
            </w:hyperlink>
            <w:r>
              <w:rPr>
                <w:rFonts w:ascii="Times New Roman" w:hAnsi="Times New Roman"/>
                <w:color w:val="000000"/>
                <w:sz w:val="20"/>
              </w:rPr>
              <w:t>, including any amendments or reports filed with the SEC for the purposes of updating such description.</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may request, and we will provide you with, a copy of these filings, at no cost, by calling us at (858) 952-7570 or by writing to us at the following address:</w:t>
      </w:r>
    </w:p>
    <w:p>
      <w:pPr>
        <w:pStyle w:val="TextBody"/>
        <w:bidi w:val="0"/>
        <w:jc w:val="center"/>
        <w:rPr>
          <w:rFonts w:ascii="Times New Roman" w:hAnsi="Times New Roman"/>
          <w:color w:val="000000"/>
          <w:sz w:val="20"/>
        </w:rPr>
      </w:pPr>
      <w:r>
        <w:rPr>
          <w:rFonts w:ascii="Times New Roman" w:hAnsi="Times New Roman"/>
          <w:color w:val="000000"/>
          <w:sz w:val="20"/>
        </w:rPr>
        <w:t xml:space="preserve">Cardiff Oncology, Inc. </w:t>
      </w:r>
    </w:p>
    <w:p>
      <w:pPr>
        <w:pStyle w:val="TextBody"/>
        <w:bidi w:val="0"/>
        <w:jc w:val="center"/>
        <w:rPr>
          <w:rFonts w:ascii="Times New Roman" w:hAnsi="Times New Roman"/>
          <w:color w:val="000000"/>
          <w:sz w:val="20"/>
        </w:rPr>
      </w:pPr>
      <w:r>
        <w:rPr>
          <w:rFonts w:ascii="Times New Roman" w:hAnsi="Times New Roman"/>
          <w:color w:val="000000"/>
          <w:sz w:val="20"/>
        </w:rPr>
        <w:t>11055 Flintkote Avenue</w:t>
      </w:r>
    </w:p>
    <w:p>
      <w:pPr>
        <w:pStyle w:val="TextBody"/>
        <w:bidi w:val="0"/>
        <w:jc w:val="center"/>
        <w:rPr>
          <w:rFonts w:ascii="Times New Roman" w:hAnsi="Times New Roman"/>
          <w:color w:val="000000"/>
          <w:sz w:val="20"/>
        </w:rPr>
      </w:pPr>
      <w:r>
        <w:rPr>
          <w:rFonts w:ascii="Times New Roman" w:hAnsi="Times New Roman"/>
          <w:color w:val="000000"/>
          <w:sz w:val="20"/>
        </w:rPr>
        <w:t>San Diego, CA 92121</w:t>
      </w:r>
    </w:p>
    <w:p>
      <w:pPr>
        <w:pStyle w:val="TextBody"/>
        <w:bidi w:val="0"/>
        <w:jc w:val="center"/>
        <w:rPr>
          <w:rFonts w:ascii="Times New Roman" w:hAnsi="Times New Roman"/>
          <w:color w:val="000000"/>
          <w:sz w:val="20"/>
        </w:rPr>
      </w:pPr>
      <w:r>
        <w:rPr>
          <w:rFonts w:ascii="Times New Roman" w:hAnsi="Times New Roman"/>
          <w:color w:val="000000"/>
          <w:sz w:val="20"/>
        </w:rPr>
        <w:t xml:space="preserve">Attn.: Secretary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p>
      <w:pPr>
        <w:pStyle w:val="TextBody"/>
        <w:bidi w:val="0"/>
        <w:jc w:val="center"/>
        <w:rPr/>
      </w:pPr>
      <w:r>
        <w:rPr/>
        <w:drawing>
          <wp:inline distT="0" distB="0" distL="0" distR="0">
            <wp:extent cx="19050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905000" cy="5048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rFonts w:ascii="Times New Roman" w:hAnsi="Times New Roman"/>
          <w:b/>
          <w:color w:val="000000"/>
          <w:sz w:val="20"/>
        </w:rPr>
      </w:pPr>
      <w:r>
        <w:rPr>
          <w:rFonts w:ascii="Times New Roman" w:hAnsi="Times New Roman"/>
          <w:b/>
          <w:color w:val="000000"/>
          <w:sz w:val="20"/>
        </w:rPr>
        <w:t>Preferred Stock</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We may offer and sell, from time to time in one or more offerings, any combination of common stock, preferred stock, debt securities, warrants to purchase common stock, preferred stock or debt securities, or any combination of the foregoing, either individually or as units comprised of one or more of the other securities, having an aggregate initial offering price not exceeding $400 million.</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Our common stock is presently listed on The Nasdaq Capital Market under the symbol “CRDF.” On May 5, 2025 the last reported sale price of our common stock was $2.68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w:t>
      </w:r>
    </w:p>
    <w:p>
      <w:pPr>
        <w:pStyle w:val="TextBody"/>
        <w:bidi w:val="0"/>
        <w:spacing w:before="0" w:after="120"/>
        <w:jc w:val="both"/>
        <w:rPr>
          <w:rFonts w:ascii="Times New Roman" w:hAnsi="Times New Roman"/>
          <w:sz w:val="20"/>
        </w:rPr>
      </w:pPr>
      <w:r>
        <w:rPr>
          <w:rFonts w:ascii="Times New Roman" w:hAnsi="Times New Roman"/>
          <w:color w:val="000000"/>
          <w:sz w:val="18"/>
        </w:rPr>
        <w:t>These securities may be sold directly by us, through dealers or agents designated from time to time, to or through underwriters, dealers, or through a combination of these methods on a continuous or delayed basis. See “</w:t>
      </w:r>
      <w:r>
        <w:rPr>
          <w:rFonts w:ascii="Times New Roman" w:hAnsi="Times New Roman"/>
          <w:i/>
          <w:color w:val="000000"/>
          <w:sz w:val="18"/>
        </w:rPr>
        <w:t>Plan of Distribution</w:t>
      </w:r>
      <w:r>
        <w:rPr>
          <w:rFonts w:ascii="Times New Roman" w:hAnsi="Times New Roman"/>
          <w:color w:val="000000"/>
          <w:sz w:val="20"/>
        </w:rPr>
        <w:t xml:space="preserve">” </w:t>
      </w:r>
      <w:r>
        <w:rPr>
          <w:rFonts w:ascii="Times New Roman" w:hAnsi="Times New Roman"/>
          <w:color w:val="000000"/>
          <w:sz w:val="18"/>
        </w:rPr>
        <w:t>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120"/>
        <w:jc w:val="both"/>
        <w:rPr>
          <w:rFonts w:ascii="Times New Roman" w:hAnsi="Times New Roman"/>
          <w:sz w:val="20"/>
        </w:rPr>
      </w:pPr>
      <w:r>
        <w:rPr>
          <w:rFonts w:ascii="Times New Roman" w:hAnsi="Times New Roman"/>
          <w:b/>
          <w:color w:val="000000"/>
          <w:sz w:val="18"/>
        </w:rPr>
        <w:t>Investing in our securities involves various risks. See “</w:t>
      </w:r>
      <w:r>
        <w:rPr>
          <w:rFonts w:ascii="Times New Roman" w:hAnsi="Times New Roman"/>
          <w:b/>
          <w:i/>
          <w:color w:val="000000"/>
          <w:sz w:val="18"/>
        </w:rPr>
        <w:t>Risk Factors</w:t>
      </w:r>
      <w:r>
        <w:rPr>
          <w:rFonts w:ascii="Times New Roman" w:hAnsi="Times New Roman"/>
          <w:color w:val="000000"/>
          <w:sz w:val="20"/>
        </w:rPr>
        <w:t xml:space="preserve">” </w:t>
      </w:r>
      <w:r>
        <w:rPr>
          <w:rFonts w:ascii="Times New Roman" w:hAnsi="Times New Roman"/>
          <w:b/>
          <w:color w:val="000000"/>
          <w:sz w:val="18"/>
        </w:rPr>
        <w:t>contained herein for more information on these risks. Additional risks will be described in the related prospectus supplements under the heading “</w:t>
      </w:r>
      <w:r>
        <w:rPr>
          <w:rFonts w:ascii="Times New Roman" w:hAnsi="Times New Roman"/>
          <w:b/>
          <w:i/>
          <w:color w:val="000000"/>
          <w:sz w:val="18"/>
        </w:rPr>
        <w:t>Risk Factors</w:t>
      </w:r>
      <w:r>
        <w:rPr>
          <w:rFonts w:ascii="Times New Roman" w:hAnsi="Times New Roman"/>
          <w:b/>
          <w:color w:val="000000"/>
          <w:sz w:val="18"/>
        </w:rPr>
        <w:t>.” You should review that section of the related prospectus supplements for a discussion of matters that investors in our securities should consider.</w:t>
      </w:r>
    </w:p>
    <w:p>
      <w:pPr>
        <w:pStyle w:val="TextBody"/>
        <w:bidi w:val="0"/>
        <w:spacing w:before="0" w:after="120"/>
        <w:jc w:val="both"/>
        <w:rPr>
          <w:rFonts w:ascii="Times New Roman" w:hAnsi="Times New Roman"/>
          <w:b/>
          <w:color w:val="000000"/>
          <w:sz w:val="18"/>
        </w:rPr>
      </w:pPr>
      <w:r>
        <w:rPr>
          <w:rFonts w:ascii="Times New Roman" w:hAnsi="Times New Roman"/>
          <w:b/>
          <w:color w:val="000000"/>
          <w:sz w:val="18"/>
        </w:rPr>
        <w:t>Neither the U.S.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pStyle w:val="TextBody"/>
        <w:bidi w:val="0"/>
        <w:spacing w:before="0" w:after="120"/>
        <w:jc w:val="center"/>
        <w:rPr>
          <w:rFonts w:ascii="Times New Roman" w:hAnsi="Times New Roman"/>
          <w:color w:val="000000"/>
          <w:sz w:val="18"/>
        </w:rPr>
      </w:pPr>
      <w:r>
        <w:rPr>
          <w:rFonts w:ascii="Times New Roman" w:hAnsi="Times New Roman"/>
          <w:color w:val="000000"/>
          <w:sz w:val="18"/>
        </w:rPr>
        <w:t>The date of this prospectus is May 13, 2025.</w:t>
      </w:r>
    </w:p>
    <w:p>
      <w:pPr>
        <w:pStyle w:val="TextBody"/>
        <w:bidi w:val="0"/>
        <w:spacing w:before="0" w:after="120"/>
        <w:jc w:val="center"/>
        <w:rPr/>
      </w:pPr>
      <w:r>
        <w:rPr/>
        <w:t> </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ection3"/>
      <w:bookmarkEnd w:id="19"/>
      <w:r>
        <w:rPr>
          <w:rFonts w:ascii="Times New Roman" w:hAnsi="Times New Roman"/>
          <w:b/>
          <w:color w:val="000000"/>
          <w:sz w:val="20"/>
        </w:rPr>
        <w:t>TABLE OF CONTENTS</w:t>
      </w:r>
    </w:p>
    <w:p>
      <w:pPr>
        <w:pStyle w:val="TextBody"/>
        <w:bidi w:val="0"/>
        <w:spacing w:before="0" w:after="100"/>
        <w:jc w:val="left"/>
        <w:rPr/>
      </w:pPr>
      <w:r>
        <w:rPr/>
        <w:t> </w:t>
      </w:r>
    </w:p>
    <w:tbl>
      <w:tblPr>
        <w:tblW w:w="6358" w:type="dxa"/>
        <w:jc w:val="left"/>
        <w:tblInd w:w="0" w:type="dxa"/>
        <w:tblLayout w:type="fixed"/>
        <w:tblCellMar>
          <w:top w:w="28" w:type="dxa"/>
          <w:left w:w="28" w:type="dxa"/>
          <w:bottom w:w="28" w:type="dxa"/>
          <w:right w:w="28" w:type="dxa"/>
        </w:tblCellMar>
      </w:tblPr>
      <w:tblGrid>
        <w:gridCol w:w="5701"/>
        <w:gridCol w:w="146"/>
        <w:gridCol w:w="51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Page</w:t>
            </w:r>
          </w:p>
        </w:tc>
      </w:tr>
      <w:tr>
        <w:trPr/>
        <w:tc>
          <w:tcPr>
            <w:tcW w:w="5701" w:type="dxa"/>
            <w:tcBorders/>
            <w:tcMar>
              <w:top w:w="0" w:type="dxa"/>
              <w:left w:w="0" w:type="dxa"/>
              <w:bottom w:w="0" w:type="dxa"/>
              <w:right w:w="0" w:type="dxa"/>
            </w:tcMar>
            <w:vAlign w:val="center"/>
          </w:tcPr>
          <w:p>
            <w:pPr>
              <w:pStyle w:val="TableContents"/>
              <w:bidi w:val="0"/>
              <w:spacing w:before="33" w:after="30"/>
              <w:jc w:val="left"/>
              <w:rPr/>
            </w:pPr>
            <w:hyperlink w:anchor="section4_1">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5_1">
              <w:r>
                <w:rPr>
                  <w:rStyle w:val="InternetLink"/>
                  <w:rFonts w:ascii="Times New Roman" w:hAnsi="Times New Roman"/>
                  <w:color w:val="0000FF"/>
                  <w:sz w:val="20"/>
                  <w:u w:val="single"/>
                </w:rPr>
                <w:t>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6_1">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11</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fwd_looking_stmts">
              <w:r>
                <w:rPr>
                  <w:rStyle w:val="InternetLink"/>
                  <w:rFonts w:ascii="Times New Roman" w:hAnsi="Times New Roman"/>
                  <w:color w:val="0000FF"/>
                  <w:sz w:val="20"/>
                  <w:u w:val="single"/>
                </w:rPr>
                <w:t>DISCLOSURE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12</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8_1">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13</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9_1">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14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0_1">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16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1_1">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24</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2_1">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26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3_1">
              <w:r>
                <w:rPr>
                  <w:rStyle w:val="InternetLink"/>
                  <w:rFonts w:ascii="Times New Roman" w:hAnsi="Times New Roman"/>
                  <w:color w:val="0000FF"/>
                  <w:sz w:val="20"/>
                  <w:u w:val="single"/>
                </w:rPr>
                <w:t>LEGAL OWNERSHIP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4_1">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32</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legalmatters1">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35</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6_1">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36</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7_1">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37</w:t>
            </w:r>
          </w:p>
        </w:tc>
      </w:tr>
      <w:tr>
        <w:trPr/>
        <w:tc>
          <w:tcPr>
            <w:tcW w:w="5701" w:type="dxa"/>
            <w:tcBorders/>
            <w:tcMar>
              <w:top w:w="0" w:type="dxa"/>
              <w:left w:w="0" w:type="dxa"/>
              <w:bottom w:w="0" w:type="dxa"/>
              <w:right w:w="0" w:type="dxa"/>
            </w:tcMar>
            <w:vAlign w:val="center"/>
          </w:tcPr>
          <w:p>
            <w:pPr>
              <w:pStyle w:val="TableContents"/>
              <w:bidi w:val="0"/>
              <w:spacing w:before="53" w:after="30"/>
              <w:jc w:val="left"/>
              <w:rPr/>
            </w:pPr>
            <w:hyperlink w:anchor="section18">
              <w:r>
                <w:rPr>
                  <w:rStyle w:val="InternetLink"/>
                  <w:rFonts w:ascii="Times New Roman" w:hAnsi="Times New Roman"/>
                  <w:color w:val="0000FF"/>
                  <w:sz w:val="20"/>
                  <w:u w:val="single"/>
                </w:rPr>
                <w:t>INCORPORATION OF DOCUMENTS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FF"/>
                <w:sz w:val="20"/>
                <w:u w:val="single"/>
              </w:rPr>
            </w:pPr>
            <w:r>
              <w:rPr>
                <w:rFonts w:ascii="Times New Roman" w:hAnsi="Times New Roman"/>
                <w:color w:val="0000FF"/>
                <w:sz w:val="20"/>
                <w:u w:val="single"/>
              </w:rPr>
              <w:t>38</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ection4_1"/>
      <w:bookmarkEnd w:id="20"/>
      <w:r>
        <w:rPr>
          <w:rFonts w:ascii="Times New Roman" w:hAnsi="Times New Roman"/>
          <w:b/>
          <w:color w:val="000000"/>
          <w:sz w:val="20"/>
        </w:rPr>
        <w:t>ABOUT THIS PROSPECTUS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is part of a registration statement that we filed with the U.S. Securities and Exchange Commission, or SEC, using a “shelf” registration process. Under this shelf registration statement, we may sell from time to time in one or more offerings of common stock and preferred stock, various series of debt securities and/or warrants to purchase any of such securities, either individually or as units comprised of a combination of one or more of the other securities in one or more offerings up to a total dollar amount of $400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120" w:after="283"/>
        <w:jc w:val="left"/>
        <w:rPr>
          <w:rFonts w:ascii="Times New Roman" w:hAnsi="Times New Roman"/>
          <w:sz w:val="20"/>
        </w:rPr>
      </w:pPr>
      <w:r>
        <w:rPr>
          <w:rFonts w:ascii="Times New Roman" w:hAnsi="Times New Roman"/>
          <w:color w:val="000000"/>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t>
      </w:r>
      <w:r>
        <w:rPr>
          <w:rFonts w:ascii="Times New Roman" w:hAnsi="Times New Roman"/>
          <w:i/>
          <w:color w:val="000000"/>
          <w:sz w:val="20"/>
        </w:rPr>
        <w:t>Where You Can Find More Information.”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Company 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prospectus “the Company,” “we,” “us,” and “our” refer to Cardiff Oncology, Inc., a Delaware corporation, and its subsidiaries, unless the context otherwise requires.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ection5_1"/>
      <w:bookmarkEnd w:id="21"/>
      <w:r>
        <w:rPr>
          <w:rFonts w:ascii="Times New Roman" w:hAnsi="Times New Roman"/>
          <w:b/>
          <w:color w:val="000000"/>
          <w:sz w:val="20"/>
        </w:rPr>
        <w:t>SUMMARY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leveraging PLK1 inhibition, a well-validated oncology drug target, to develop novel therapies across a range of cancers with the greatest unmet medical need. Our goal is to target tumor vulnerabilities with treatment combinations of onvansertib, our oral and highly selective PLK1 inhibitor, and standard-of-care ("SoC") therapeutics. We are focusing our clinical program in indications such as RAS-mutated metastatic colorectal cancer ("mCRC"), as well as in investigator-initiated ongoing or planned trials in metastatic pancreatic ductal adenocarcinoma ("mPDAC"), small cell lung cancer ("SCLC"), and triple negative breast cancer ("TNBC"). Our clinical development programs incorporate tumor genomics and biomarker assays to refine assessment of patient response to treatment.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Lead Drug Candidate, Onvansertib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Onvansertib is an oral, small molecule drug candidate that is highly specific for PLK1 inhibition with a 24-hour half-life.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attributes of onvansertib described below, as well as early clinical evidence of favorable safety and efficacy, with expected on-target, manageable and tolerable side effects, may prove beneficial in addressing clinical therapeutic needs across a variety of cancers: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Onvansertib is highly potent and highly selective against the PLK1 enzyme (IC</w:t>
      </w:r>
      <w:r>
        <w:rPr>
          <w:rFonts w:ascii="Times New Roman" w:hAnsi="Times New Roman"/>
          <w:color w:val="000000"/>
          <w:sz w:val="13"/>
        </w:rPr>
        <w:t>50</w:t>
      </w:r>
      <w:r>
        <w:rPr>
          <w:color w:val="000000"/>
        </w:rPr>
        <w:t xml:space="preserve"> </w:t>
      </w:r>
      <w:r>
        <w:rPr>
          <w:rFonts w:ascii="Times New Roman" w:hAnsi="Times New Roman"/>
          <w:color w:val="000000"/>
          <w:sz w:val="20"/>
        </w:rPr>
        <w:t>= 2nM; IC</w:t>
      </w:r>
      <w:r>
        <w:rPr>
          <w:rFonts w:ascii="Times New Roman" w:hAnsi="Times New Roman"/>
          <w:color w:val="000000"/>
          <w:sz w:val="13"/>
        </w:rPr>
        <w:t>50</w:t>
      </w:r>
      <w:r>
        <w:rPr>
          <w:color w:val="000000"/>
        </w:rPr>
        <w:t xml:space="preserve"> </w:t>
      </w:r>
      <w:r>
        <w:rPr>
          <w:rFonts w:ascii="Times New Roman" w:hAnsi="Times New Roman"/>
          <w:color w:val="000000"/>
          <w:sz w:val="20"/>
        </w:rPr>
        <w:t>is the concentration for 50% inhibition), compared to prior PLK1 inhibitors that were pan-inhibitors of several PLK targets. Low or no activity of onvansertib was observed on a panel of 63 kinases (IC50&gt;500 nM), including the PLK members PLK2 and PLK3 (IC</w:t>
      </w:r>
      <w:r>
        <w:rPr>
          <w:rFonts w:ascii="Times New Roman" w:hAnsi="Times New Roman"/>
          <w:color w:val="000000"/>
          <w:sz w:val="13"/>
        </w:rPr>
        <w:t>50</w:t>
      </w:r>
      <w:r>
        <w:rPr>
          <w:rFonts w:ascii="Times New Roman" w:hAnsi="Times New Roman"/>
          <w:color w:val="000000"/>
          <w:sz w:val="20"/>
        </w:rPr>
        <w:t>&gt;10,000 nM);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Onvansertib is orally bioavailable, allowing for relative ease and flexibility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Onvansertib has a relatively short drug half-life of 24 hours, allowing for flexible dosing and scheduling that has demonstrated a favorable safety profile across multiple clinical trials.</w:t>
      </w:r>
    </w:p>
    <w:p>
      <w:pPr>
        <w:pStyle w:val="TextBody"/>
        <w:bidi w:val="0"/>
        <w:spacing w:before="240" w:after="283"/>
        <w:jc w:val="left"/>
        <w:rPr>
          <w:rFonts w:ascii="Times New Roman" w:hAnsi="Times New Roman"/>
          <w:sz w:val="20"/>
        </w:rPr>
      </w:pPr>
      <w:r>
        <w:rPr>
          <w:rFonts w:ascii="Times New Roman" w:hAnsi="Times New Roman"/>
          <w:i/>
          <w:color w:val="000000"/>
          <w:sz w:val="20"/>
        </w:rPr>
        <w:t>In vitro</w:t>
      </w:r>
      <w:r>
        <w:rPr>
          <w:rFonts w:ascii="Times New Roman" w:hAnsi="Times New Roman"/>
          <w:color w:val="000000"/>
          <w:sz w:val="20"/>
        </w:rPr>
        <w:t xml:space="preserve"> studies have shown synergistic effects when onvansertib was administered in combination with different cytotoxic agents including microtubule-targeting agents, topoisomerase 1 inhibitors, antimetabolites, alkylating agents, proteasome inhibitors, kinase inhibitors, PARP inhibitors, BCL-2 inhibitors, and androgen biosynthesis inhibitors.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t>
      </w:r>
      <w:r>
        <w:rPr>
          <w:rFonts w:ascii="Times New Roman" w:hAnsi="Times New Roman"/>
          <w:i/>
          <w:color w:val="000000"/>
          <w:sz w:val="20"/>
        </w:rPr>
        <w:t>in vivo</w:t>
      </w:r>
      <w:r>
        <w:rPr>
          <w:rFonts w:ascii="Times New Roman" w:hAnsi="Times New Roman"/>
          <w:color w:val="000000"/>
          <w:sz w:val="20"/>
        </w:rPr>
        <w:t xml:space="preserve"> combination studies have confirmed the positive results obtained </w:t>
      </w:r>
      <w:r>
        <w:rPr>
          <w:rFonts w:ascii="Times New Roman" w:hAnsi="Times New Roman"/>
          <w:i/>
          <w:color w:val="000000"/>
          <w:sz w:val="20"/>
        </w:rPr>
        <w:t>in vitro</w:t>
      </w:r>
      <w:r>
        <w:rPr>
          <w:rFonts w:ascii="Times New Roman" w:hAnsi="Times New Roman"/>
          <w:color w:val="000000"/>
          <w:sz w:val="20"/>
        </w:rPr>
        <w:t xml:space="preserve"> and additive or synergistic effects on efficacy have been observed in xenograft models of onvansertib in combination with irinotecan, 5-fluorouracil ("5-FU"), abiraterone, PARP inhibitors, venetoclax, paclitaxel, or bevacizumab. Combining onvansertib with SoC cancer agents may provide opportunities for synergy with many cancer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several ongoing and planned clinical trials of onvansertib in multiple indications: one trial (CRDF-004) in first-line treatment in patients with RAS-mutated mCRC, and investigator-initiated trials in first-line mPDAC, relapsed SCLC and unresectable locally advanced or metastatic TNBC.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RAS-mutated mCRC Program:</w:t>
      </w:r>
    </w:p>
    <w:p>
      <w:pPr>
        <w:pStyle w:val="TextBody"/>
        <w:bidi w:val="0"/>
        <w:spacing w:before="120" w:after="283"/>
        <w:jc w:val="left"/>
        <w:rPr>
          <w:rFonts w:ascii="Times New Roman" w:hAnsi="Times New Roman"/>
          <w:sz w:val="20"/>
        </w:rPr>
      </w:pPr>
      <w:r>
        <w:rPr>
          <w:rFonts w:ascii="Times New Roman" w:hAnsi="Times New Roman"/>
          <w:b/>
          <w:color w:val="000000"/>
          <w:sz w:val="20"/>
        </w:rPr>
        <w:t>CRDF-004 Randomized Clinical Trial in First-Line RAS-mutated mCRC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CRDF-004 is a Phase 2 open-label, randomized multi-center clinical trial of onvansertib in combination with SoC FOLFIRI and bevacizumab or SoC FOLFOX and bevacizumab for the first-line treatment of patients with RAS-mutated mCRC. The primary objectives of the CRDF-004 trial are to evaluate onvansertib’s safety and efficacy in combination with the SoC, as well as to evaluate two doses of onvansertib, 20mg and 30mg, given in combination with SoC, against SoC alone. The primary endpoint of the trial is objective response rate ("ORR"). Progression-free survival and duration of response will be secondary endpoints. This trial is conducted in partnership with Pfizer Ignite, an end-to-end service for biotech companies, and it is expected to enroll approximately 90 evaluable patients. For more information, please visit NCT06106308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upon the results of CRDF-004, we plan to initiate CRDF-005, a Phase 3, randomized trial with registrational intent. The FDA has agreed that a seamless trial with an interim endpoint of ORR, with duration of response, is acceptable to pursue accelerated approval, with progression-free survival and trend in overall survival being the endpoints for full approval.</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Data presented on December 10, 2024 provided initial results from the ongoing CRDF-004 Phase 2 randomized clinical trial in first-line RAS-mutated metastatic colorectal cancer. ORR, as of the data cut-off date of November 26, 2024, are shown below.</w:t>
      </w:r>
    </w:p>
    <w:tbl>
      <w:tblPr>
        <w:tblW w:w="9172" w:type="dxa"/>
        <w:jc w:val="left"/>
        <w:tblInd w:w="0" w:type="dxa"/>
        <w:tblLayout w:type="fixed"/>
        <w:tblCellMar>
          <w:top w:w="28" w:type="dxa"/>
          <w:left w:w="28" w:type="dxa"/>
          <w:bottom w:w="28" w:type="dxa"/>
          <w:right w:w="28" w:type="dxa"/>
        </w:tblCellMar>
      </w:tblPr>
      <w:tblGrid>
        <w:gridCol w:w="1966"/>
        <w:gridCol w:w="146"/>
        <w:gridCol w:w="2446"/>
        <w:gridCol w:w="146"/>
        <w:gridCol w:w="2446"/>
        <w:gridCol w:w="146"/>
        <w:gridCol w:w="18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Control Arm (SoC alone)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20mg dose of onvansertib + SoC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30mg dose of onvansertib + SoC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onvansertib patients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 ORR</w:t>
              <w:br/>
              <w:t>(3 of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ORR</w:t>
              <w:br/>
              <w:t>(5 of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 ORR</w:t>
              <w:br/>
              <w:t>(7 of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 ORR</w:t>
              <w:br/>
              <w:t>(12 of 21)</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Spider Plots, displaying the change in tumor size from baseline for each patient over time, demonstrate deeper responses observed in patients receiving the 30mg dose of onvansertib in combination with the SoC compared to both the control arms and 20mg dose of onvansertib arms.</w:t>
      </w:r>
    </w:p>
    <w:p>
      <w:pPr>
        <w:pStyle w:val="TextBody"/>
        <w:bidi w:val="0"/>
        <w:jc w:val="left"/>
        <w:rPr/>
      </w:pPr>
      <w:r>
        <w:rPr/>
        <w:drawing>
          <wp:inline distT="0" distB="0" distL="0" distR="0">
            <wp:extent cx="5734050" cy="310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5734050" cy="3105150"/>
                    </a:xfrm>
                    <a:prstGeom prst="rect">
                      <a:avLst/>
                    </a:prstGeom>
                  </pic:spPr>
                </pic:pic>
              </a:graphicData>
            </a:graphic>
          </wp:inline>
        </w:drawing>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Note: Radiographic response determined per RECIST 1.1 by blinded independent central review. Spider plot reflects interim data as of November 26, 2024 from an ongoing trial and unlocked database.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Onvansertib in combination with chemo/bevacizumab was well-tolerated and there have been no major or unexpected toxicities observed.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Phase 1b/2 Clinical Trial in Second-Line KRAS-mutated mCRC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TROV-054, a Phase 1b/2 open-label multi-center clinical trial of onvansertib in combination with SoC FOLFIRI and bevacizumab for the second-line treatment of patients with KRAS-mutated mCRC, completed enrollment in October 2022.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primary objectives of this trial were to evaluate the Dose-Limiting Toxicities ("DLTs"), maximum tolerated dose ("MTD") and recommended Phase 2 dose ("RP2D") of onvansertib in combination with FOLFIRI and bevacizumab (Phase 1b) and to continue to assess the safety and preliminary efficacy of onvansertib in combination with FOLFIRI and bevacizumab patients with KRAS-mutated mCRC (Phase 2). For more information, please visit NCT03829410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Data presented on August 7, 2023, provided an update of the ongoing TROV-054 Phase 1b/2 single arm clinical trial in KRAS-mutated metastatic colorectal cancer: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ORR across all evaluable patients was 29%, with 19 of 66 evaluable patients achieving an objective response. Responses have been observed across multiple KRAS variants;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Median duration of response ("mDoR") across all evaluable patients was 12.0 months (95% confidence interval ("CI"): 8.9 – not reached);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Median progression free survival ("mPFS") across all evaluable patients was 9.3 months (95% CI: 7.8 – 14). Historical control trials of different drug combinations, including the SoC of FOLFIRI with bevacizumab, in similar patient populations have shown ORR and mPFS of 5 – 13% and ~4.5 – 6.7 months,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subgroup analysis of patients who were bevacizumab naïve when they entered second-line therapy vs. patients who had received prior bevacizumab in first-line therapy showed that patients who were bevacizumab naïve (n=15) had an ORR of 73% and mPFS of 15 months, which is well above historical controls. In contrast, patients previously treated with bevacizumab (n=51) had an ORR of 16% and mPFS of 7.8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on Treatment Emergent Adverse Events ("TEAEs") on the trial showed that onvansertib is well-tolerated when used in combination with FOLFIRI and bevacizumab. The more severe, grade 4 TEAEs are either neutropenia or leukopenia, which are common events in patients treated with FOLFIRI and bevacizumab. None of the patients with grade 4 TEAEs discontinued treatment due to their condition and all resolved without issue. There were no major or unexpected toxicities seen in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the Phase 1b portion of this trial was published in the peer-reviewed journal Clinical Cancer Research, February 6, 2024 edition;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the Phase 2 portion of this trial was published online in the peer-reviewed journal of Clinical Oncology on October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interim results of the TROV-054 trial, we designed the ONSEMBLE trial (CRDF-003) as the next phase of our mCRC program. Upon further review of the clinical data from the bevacizumab naïve subgroup (those patients who did not receive bevacizumab in their first-line therapy), the preclinical data on the mechanism of action and the feedback from the FDA on our clinical development strategy, we made the decision to discontinue enrollment in the ONSEMBLE trial and to initiate the CRDF-004 clinical trial.</w:t>
      </w:r>
    </w:p>
    <w:p>
      <w:pPr>
        <w:pStyle w:val="TextBody"/>
        <w:bidi w:val="0"/>
        <w:spacing w:before="360" w:after="283"/>
        <w:jc w:val="left"/>
        <w:rPr>
          <w:rFonts w:ascii="Times New Roman" w:hAnsi="Times New Roman"/>
          <w:sz w:val="20"/>
        </w:rPr>
      </w:pPr>
      <w:r>
        <w:rPr>
          <w:rFonts w:ascii="Times New Roman" w:hAnsi="Times New Roman"/>
          <w:b/>
          <w:color w:val="000000"/>
          <w:sz w:val="20"/>
        </w:rPr>
        <w:t>Phase 2 Clinical Trial in Second-Line RAS-mutated mCRC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ONSEMBLE trial (CRDF-003) was a Phase 2 randomized, open-label multi-center clinical trial of onvansertib in combination with SoC FOLFIRI and bevacizumab for the second-line treatment of patients with RAS-mutated mCRC. The ONSEMBLE trial completed enrollment in August 2023 as part of our shift to a first-line mCRC program. The primary objectives of the ONSEMBLE trial were to evaluate onvansertib’s safety and efficacy in combination with FOLFIRI and bevacizumab, as well as to evaluate two doses of onvansertib, 20mg and 30mg, given in combination with FOLFIRI and bevacizumab, against FOLFIRI and bevacizumab alone. The primary endpoint of the trial was ORR. For more information, please visit NCT05593328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ORR data from the randomized ONSEMBLE trial validates the findings observed in our earlier single-arm Phase 1b/2 KRAS-mutated mCRC trial (TROV-054). In the ONSEMBLE trial, objective responses were observed only in bevacizumab naïve patients, not bevacizumab exposed patients. In addition, these objective responses were present only in bevacizumab naïve patients randomized to the experimental arms of onvansertib in combination with FOLFIRI and bevacizumab versus bevacizumab naïve patients randomized to the FOLFIRI and bevacizumab alone control arm.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mPDAC Program: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1b/2 Investigator-Initiated Clinical Trial in First-Line mPDAC</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2024, the FDA approved NALIRIFOX as a first-line treatment option for mPDAC. As a result, we are currently supporting a new investigator-initiated mPDAC Phase 1b/2 trial of onvansertib in combination with first-line SoC NALIRIFOX, which is now open for enrollment at the University of Kansas Medical Center. The trial replaced a previously planned two-cohort, non-randomized Phase 2 trial of onvansertib in combination with first-line SoC Gemzar</w:t>
      </w:r>
      <w:r>
        <w:rPr>
          <w:rFonts w:ascii="Times New Roman" w:hAnsi="Times New Roman"/>
          <w:color w:val="000000"/>
          <w:sz w:val="13"/>
        </w:rPr>
        <w:t>®</w:t>
      </w:r>
      <w:r>
        <w:rPr>
          <w:rFonts w:ascii="Times New Roman" w:hAnsi="Times New Roman"/>
          <w:color w:val="000000"/>
          <w:sz w:val="20"/>
        </w:rPr>
        <w:t xml:space="preserve"> and Abraxane</w:t>
      </w:r>
      <w:r>
        <w:rPr>
          <w:rFonts w:ascii="Times New Roman" w:hAnsi="Times New Roman"/>
          <w:color w:val="000000"/>
          <w:sz w:val="13"/>
        </w:rPr>
        <w:t>®</w:t>
      </w:r>
      <w:r>
        <w:rPr>
          <w:rFonts w:ascii="Times New Roman" w:hAnsi="Times New Roman"/>
          <w:color w:val="000000"/>
          <w:sz w:val="20"/>
        </w:rPr>
        <w:t xml:space="preserve"> . For more information, please visit NCT06736717 at </w:t>
      </w:r>
      <w:r>
        <w:rPr>
          <w:rFonts w:ascii="Times New Roman" w:hAnsi="Times New Roman"/>
          <w:i/>
          <w:color w:val="000000"/>
          <w:sz w:val="20"/>
        </w:rPr>
        <w:t>www.clinicaltrials.gov.</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in this study is to determine anti-tumor activity by measuring Overall Response Rate (ORR). The secondary objectives are to determine treatment safety based on toxicities in participants who have received at least one dose of onvansertib, to determine anti-tumor activity by Progression Free Survival (PFS), to determine anti-tumor activity by Disease Control Rate (DCR), to determine Overall Survival (OS).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 Clinical Trial in mPDAC</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CRDF-001, a Phase 2 open-label multi-center clinical trial of onvansertib in combination with nanoliposomal irinotecan (Onivyde</w:t>
      </w:r>
      <w:r>
        <w:rPr>
          <w:rFonts w:ascii="Times New Roman" w:hAnsi="Times New Roman"/>
          <w:color w:val="000000"/>
          <w:sz w:val="13"/>
        </w:rPr>
        <w:t>®</w:t>
      </w:r>
      <w:r>
        <w:rPr>
          <w:rFonts w:ascii="Times New Roman" w:hAnsi="Times New Roman"/>
          <w:color w:val="000000"/>
          <w:sz w:val="20"/>
        </w:rPr>
        <w:t>), leucovorin, and fluorouracil for 2</w:t>
      </w:r>
      <w:r>
        <w:rPr>
          <w:rFonts w:ascii="Times New Roman" w:hAnsi="Times New Roman"/>
          <w:color w:val="000000"/>
          <w:sz w:val="13"/>
        </w:rPr>
        <w:t>nd</w:t>
      </w:r>
      <w:r>
        <w:rPr>
          <w:rFonts w:ascii="Times New Roman" w:hAnsi="Times New Roman"/>
          <w:color w:val="000000"/>
          <w:sz w:val="20"/>
        </w:rPr>
        <w:t xml:space="preserve"> line treatment of patients with mPDAC, completed enrollment in October 2023.</w:t>
      </w:r>
    </w:p>
    <w:p>
      <w:pPr>
        <w:pStyle w:val="TextBody"/>
        <w:bidi w:val="0"/>
        <w:spacing w:before="240" w:after="283"/>
        <w:jc w:val="left"/>
        <w:rPr>
          <w:rFonts w:ascii="Times New Roman" w:hAnsi="Times New Roman"/>
          <w:sz w:val="20"/>
        </w:rPr>
      </w:pPr>
      <w:r>
        <w:rPr>
          <w:rFonts w:ascii="Times New Roman" w:hAnsi="Times New Roman"/>
          <w:color w:val="000000"/>
          <w:sz w:val="20"/>
        </w:rPr>
        <w:t>The objective of this trial was to assess the safety and preliminary efficacy of onvansertib in combination with nanoliposomal irinotecan (Onyvide</w:t>
      </w:r>
      <w:r>
        <w:rPr>
          <w:rFonts w:ascii="Times New Roman" w:hAnsi="Times New Roman"/>
          <w:color w:val="000000"/>
          <w:sz w:val="13"/>
        </w:rPr>
        <w:t>®</w:t>
      </w:r>
      <w:r>
        <w:rPr>
          <w:rFonts w:ascii="Times New Roman" w:hAnsi="Times New Roman"/>
          <w:color w:val="000000"/>
          <w:sz w:val="20"/>
        </w:rPr>
        <w:t>), 5-FU and leucovorin as a 2</w:t>
      </w:r>
      <w:r>
        <w:rPr>
          <w:rFonts w:ascii="Times New Roman" w:hAnsi="Times New Roman"/>
          <w:color w:val="000000"/>
          <w:sz w:val="13"/>
        </w:rPr>
        <w:t>nd</w:t>
      </w:r>
      <w:r>
        <w:rPr>
          <w:rFonts w:ascii="Times New Roman" w:hAnsi="Times New Roman"/>
          <w:color w:val="000000"/>
          <w:sz w:val="20"/>
        </w:rPr>
        <w:t xml:space="preserve"> line treatment in patients with mPDAC who have failed first-line gemcitabine-based therapy. For more information, please visit NCT04752696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data presented on September 26, 2023, and updated on February 29, 2024, showed promising data that caused us to shift the program to a first-line investigator initiated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mPDAC biomarker discovery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investigator-initiated biomarker discovery trial is exploring the impact of onvansertib 10-day monotherapy on tumors in mPDAC patients, and enrolled at the Oregon Health &amp; Science University (OHSU) Knight Cancer Institute. Enrollment for this trial is closed.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data were presented on September 26, 2023. One patient demonstrated an 86% decrease in Ki67, a well-established biomarker of tumor proliferation, and a 28% decrease in CA 19-9, a clinically-used biomarker to monitor treatment response.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Clinical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Phase 2 Investigator-Initiated Clinical Trial in SCLC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single-arm, two-stage, Phase 2 trial of onvansertib monotherapy in patients with relapsed SCLC is open for enrollment at the University of Maryland, Baltimore. The trial is designed to enroll 15 patients in Stage 1, with the study proceeding to Stage 2 if 2 or more Stage 1 patients achieve an objective response. Stage 2 is designed to enroll an additional 20 patients. The primary endpoint of the trial is ORR, while key secondary endpoints include PFS and overall survival. For more information, please visit NCT05450965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examination of the safety data from the first six patients by the institutional review board confirmed the trial can continue to enroll as planned. Preliminary efficacy data for seven patients presented on September 26, 2023, showed one confirmed partial response (“PR”), three stable disease (“SD”) and three progressive disease (“PD”). The disease control rate (“DCR”), including PR and SD, is 57% (4 of 7 patients).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1b Investigator-Initiated Clinical Trial in TNBC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single-arm, Phase 1b trial of onvansertib in combination with paclitaxel in patients with unresectable locally advanced or metastatic TNBC is open for enrollment at Dana Farber Cancer Institute ("DFCI"). In Phase 1b, approximately 14-16 patients will be treated with different doses of onvansertib in combination with a fixed dose of paclitaxel to determine the maximum tolerated dose and the safety and efficacy of onvansertib in combination with paclitaxel. For more information, please visit NCT05383196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Associated with Our Business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substantial additional capital to develop and commercialize, our product candidate, onvansertib, and our failure to obtain funding when needed may force us to delay, reduce or eliminate our product development programs or collaboration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 is in the early stages of clinical development and its commercial viability remains subject to current and future preclinical studies, clinical trials, regulatory approvals and the risks generally inherent in the development of a pharmaceutical product candidate. If we are unable to successfully advance or develop our product candidate,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results of preclinical studies or clinical trials for our product candidate, including those that are subject to existing or future license or collaboration agreements, are unfavorable or delayed, we could be delayed or precluded from the further development or commercialization of our product candidate, which could materially harm our business.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 party vendors upon whom we intend to rely on to conduct our preclinical studies or clinical trials do not perform or fail to comply with strict regulations, these studies or trials of our product candidate may be delayed, terminated, or fail, or we could incur significant additional expenses,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collaborators, must comply with extensive government regulations in order to advance our product candidate through the development process and ultimately obtain and maintain marketing approval for our products in the U.S. and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in the development of therapeutic product candidates and therefore may encounter difficulties developing our product candidate or managing our operations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involve a lengthy and expensive process with an uncertain outcome, and results of earlier studies and trials may not be predictive of future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testing could result in increased costs to us and delay our ability to generate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and comparable foreign authorities are lengthy, time consuming and inherently unpredictable, and if we are ultimately unable to obtain regulatory approval for our product candidate,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threats to our information technology infrastructure and/or our physical buildings could expose us to liability and damage our reputation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manufacturers upon whom we rely fail to produce our product candidate, in the volumes that we require on a timely basis, or fail to comply with stringent regulations applicable to pharmaceutical drug manufacturers, we may face delays in the development and commercialization of our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 if approved for sale, may not gain acceptance among physicians, patients and the medical community, thereby limiting our potential to generate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materially breach or default under the Nerviano Licensing Agreement, Nerviano will have the right to terminate the agreement and we could lose critical license rights, which would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may be volatile and could fluctuate widely in price, which could result in substantial losses for investors.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were originally incorporated under the laws of the State of Florida in April 2002. In January 2010, we re-incorporated under the laws of the State of Delaware and changed our name to Trovagene, Inc. In May 2012, our common stock was listed on The Nasdaq Capital Market ("Nasdaq") under the ticker symbol TROV. In May 2020 we changed our name to Cardiff Oncology, Inc. and our Nasdaq ticker symbol changed to CRDF. Our corporate website address is </w:t>
      </w:r>
      <w:r>
        <w:rPr>
          <w:rFonts w:ascii="Times New Roman" w:hAnsi="Times New Roman"/>
          <w:i/>
          <w:color w:val="000000"/>
          <w:sz w:val="20"/>
        </w:rPr>
        <w:t>www.cardiffoncology.com</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The Securities We May Offer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offer shares of our common stock and preferred stock, various series of debt securities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If we issue any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 Each time we offer securities under this prospectus, we will provide offerees with a prospectus supplement that will describe the specific amounts, prices and other important terms of the securities being offered, including, to the extent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designation or classification;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aggregate principal amount or aggregate offering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maturity,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original issue discount,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rates and times of payment of interest or dividends,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redemption, conversion, exchange or sinking fund terms, if any;</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ranking;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restrictive covenants,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voting or other rights,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important United States federal income tax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have authorized 150,000,000 shares of common stock, par value $0.0001 per share. As of May 5, 2025, 66,525,854 shares of common stock were issued and outstanding. We may offer shares of our common stock either alone or underlying other registered securities convertible into or exercisable for our common stock. Holders of our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common stock. Each holder of our common stock is entitled to one vote per share. In this prospectus, we provide a general description of, among other things, the rights and restrictions that apply to holders of our common stock.</w:t>
      </w:r>
    </w:p>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currently have authorized 20,000,000 shares of preferred stock, par value $0.001, of which 277,100 shares are designated as Series A Convertible Preferred Stock, of which 60,600 shares are issued and outstanding as of May 5,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authorized and undesignated shares of preferred stock may be issued from time to time in one or more additional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Debt Securities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offer general debt obligations, which may be secured or unsecured, senior or subordinated, and convertible into shares of our common stock or preferred stock. In this prospectus, we refer to the senior debt securities and the subordinated debt securities together as the “debt securities.” We may issue debt securities under a note purchase agreement or under an indenture to be entered between us and a trustee. The indentures do not limit the amount of securities that may be issued under it and provide that debt securities may be issued in one or more series. The senior debt securities will have the same rank as all of our other indebtedness that is not subordinated. The subordinated debt securities will be subordinated to our senior debt on terms set forth in the applicable prospectus supplement. In addition, the subordinated debt securities will be effectively subordinated to creditors and preferred stockholders of our subsidiaries. Our Board of Directors will determine the terms of each series of debt securities being offered. This prospectus contains only general terms and provisions of the debt securities. The applicable prospectus supplement will describe the particular terms of the debt securities offered thereby. You should read any prospectus supplement and any free writing prospectus that we may authorize to be provided to you related to the series of debt securities being offered, as well as the complete note agreements and/or indentures that contain the terms of the debt securities. The forms of senior and subordinated indentures have been filed as exhibits to the registration statement of which this prospectus is a part, and supplemental indentures and forms of debt securities containing the terms of debt securities being offered will be incorporated by reference into the registration statement of which this prospectus is a part from reports we file with the SEC.</w:t>
      </w:r>
    </w:p>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Warrants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offer warrants for the purchase of shares of our common stock or preferred stock or of debt securities. We may issue the warrants by themselves or together with common stock, preferred stock or debt securities,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w:t>
      </w:r>
    </w:p>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Units</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offer units consisting of our common stock or preferred stock, debt securities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ection6_1"/>
      <w:bookmarkEnd w:id="22"/>
      <w:r>
        <w:rPr>
          <w:rFonts w:ascii="Times New Roman" w:hAnsi="Times New Roman"/>
          <w:b/>
          <w:color w:val="000000"/>
          <w:sz w:val="20"/>
        </w:rPr>
        <w:t>RISK FACTORS</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2024, filed with the SEC on February 27, 2025,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fwd_looking_stmts"/>
      <w:bookmarkEnd w:id="23"/>
      <w:r>
        <w:rPr>
          <w:rFonts w:ascii="Times New Roman" w:hAnsi="Times New Roman"/>
          <w:b/>
          <w:color w:val="000000"/>
          <w:sz w:val="20"/>
        </w:rPr>
        <w:t>FORWARD-LOOKING STATEMENTS</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prospectus, any accompanying prospectus supplement, any related free writing prospectus and the documents incorporated by reference herein or therein contain, in addition to historical information, certain forward-looking statements within the meaning of Section 27A of the Securities Act or 1933, as amended (the “Securities Act”), and Section 21E of the Securities Exchange Act of 1934, as amended (the “Exchange Act”), that include information relating to future events, future financial performance, strategies, expectations, competitive environment, regulation and availability of resources.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some cases, you can identify forward-looking statements by terminology, such as “expects,” “anticipates,” “intends,” “estimates,” “plans,” “believes,” “seeks,” “may,” “should”, “could” or the negative of such terms or other similar expressions. Accordingly, these statements involve estimates, assumptions and uncertainties that could cause actual results to differ materially from those expressed in them. Any forward-looking statements are qualified in their entirety by reference to the factors discussed throughout this prospectus supplement or incorporated herein by reference.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Risks, uncertainties and other factors that may cause our actual results, performance or achievements to be different from those expressed or implied in our written or oral forward-looking statements may be found in this prospectus supplement under the heading “Risk Factors” and in our Annual Report on Form 10-K for the year ended December 31, 2024 under the headings “Risk Factors” and “Business,” as updated in our Quarterly Report(s) on Form 10-Q.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Forward-looking statements speak only as of the date they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We qualify all of the information presented in this prospectus supplement and incorporated herein by reference, and particularly our forward-looking statements, by these cautionary statements.</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section8_1"/>
      <w:bookmarkEnd w:id="24"/>
      <w:r>
        <w:rPr>
          <w:rFonts w:ascii="Times New Roman" w:hAnsi="Times New Roman"/>
          <w:b/>
          <w:color w:val="000000"/>
          <w:sz w:val="20"/>
        </w:rPr>
        <w:t>USE OF PROCEEDS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as described in any prospectus supplement and any free writing prospectus in connection with a specific offering, we currently intend to use the net proceeds from the sale of the securities offered under this prospectus for general corporate purposes, including the development and commercialization of our products, research and development, general and administrative expenses, license or technology acquisitions, and working capital and capital expenditures.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ection9_1"/>
      <w:bookmarkEnd w:id="25"/>
      <w:r>
        <w:rPr>
          <w:rFonts w:ascii="Times New Roman" w:hAnsi="Times New Roman"/>
          <w:b/>
          <w:color w:val="000000"/>
          <w:sz w:val="20"/>
        </w:rPr>
        <w:t>DESCRIPTION OF CAPITAL STOCK</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description of our capital stock, together with any additional information we include in any applicable prospectus supplement or any related free writing prospectus, summarizes the material terms and provisions of our common stock and the preferred stock that we may offer under this prospectus. While the terms we have summarized below will apply generally to any future common stock or preferred stock that we may offer, we will describe the particular terms of any class or series of these securities in more detail in the applicable prospectus supplement. For the complete terms of our common stock and preferred stock, please refer to our amended and restated certificate of incorporation, as amended (“Certificate of Incorporation”), and our bylaws that are incorporated by reference into the registration statement of which this prospectus is a part or may be incorporated by reference in this prospectus or any applicable prospectus supplement. The terms of these securities may also be affected by Delaware General Corporation Law (the “DGCL”). The summary below and that contained in any applicable prospectus supplement or any related free writing prospectus are qualified in their entirety by reference to our Certificate of Incorporation and our bylaws.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the date of this prospectus, our authorized capital stock consisted of 150,000,000 shares of common stock, $0.0001 par value per share, and 20,000,000 shares of preferred stock, $0.001 par value per share. Our Board may establish the rights and preferences of the preferred stock from time to time. As of May 5, 2025, there were 66,525,854 shares of our common stock issued and outstanding, 60,600 shares of our Series A Convertible Preferred Stock issued and outstanding.</w:t>
      </w:r>
    </w:p>
    <w:p>
      <w:pPr>
        <w:pStyle w:val="TextBody"/>
        <w:bidi w:val="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authorized to issue up to a total of 150,000,000 shares of common stock, par value $0.0001 per share. Holders of our common stock are entitled to one vote for each share held on all matters submitted to a vote of our stockholders. Holders of our common stock have no cumulative voting rights. All shares of common stock offered hereby will, when issued, be fully paid and nonassessable, including shares of common stock issued upon the exercise of common stock warrants or subscription rights, if 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holders of our common stock have no preemptive or conversion rights or other subscription rights. Upon our liquidation, dissolution or winding- up, holders of our common stock are entitled to share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 Such dividends, if any, are payable in cash, in property or in shares of capital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a majority of the shares of our capital stock, represented in person or by proxy, are necessary to constitute a quorum for the transaction of business at any meeting. If a quorum is present, an action by stockholders entitled to vote on a matter is approved if the number of votes cast in favor of the action exceeds the number of votes cast in opposition to the action, with the exception of the election of directors, which requires a plurality of the votes cast.</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Board of Directors has the authority, without further action by the stockholders, to issue up to 20,000,000 shares of preferred stock in one or more series and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the common stock. Our Board of Directors, without stockholder approval, can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and may adversely affect the voting and other rights of the holders of common stock. At present, we have no plans to issue any shares of preferred stock following this offering.</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Anti-Takeover Effects of Certain Provisions of our Certificate of Incorporation, Bylaws and the DGCL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governed by the provisions of Section 203 of the DGCL. In general, Section 203 prohibits a publicly traded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subject to certain exceptions. The statute could have the effect of delaying, deferring or preventing a change in control of our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Certificate of Incorporation and bylaws contain provisions that could have the effect of discouraging potential acquisition proposals or making a tender offer or delaying or preventing a change in control, including changes a stockholder might consider favorable. In particular, our Certificate of Incorporation and bylaws, as applicable,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our Board of Directors with the ability to alter our bylaws without stockholder approval;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vacancies on our Board of Directors may be filled by a majority of directors in office, although less than a quorum.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provisions may have the effect of discouraging a third-party from acquiring us, even if doing so would be beneficial to our stockholders. These provisions are intended to enhance the likelihood of continuity and stability in the composition of our Board of Directors and in the policies formulated by them, and to discourage some types of transactions that may involve an actual or threatened change in control of our Company. These provisions are designed to reduce our vulnerability to an unsolicited acquisition proposal and to discourage some tactics that may be used in proxy fights. We believe that the benefits of increased protection of our potential ability to negotiate with the proponent of an unfriendly or unsolicited proposal to acquire or restructure our Company outweigh the disadvantages of discouraging such proposals because, among other things, negotiation of such proposals could result in an improvement of their terms.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However, these provisions could have the effect of discouraging others from making tender offers for our shares that could result from actual or rumored takeover attempts. These provisions also may have the effect of preventing changes in our management.</w:t>
      </w:r>
    </w:p>
    <w:p>
      <w:pPr>
        <w:pStyle w:val="TextBody"/>
        <w:bidi w:val="0"/>
        <w:jc w:val="both"/>
        <w:rPr>
          <w:rFonts w:ascii="Times New Roman" w:hAnsi="Times New Roman"/>
          <w:b/>
          <w:color w:val="000000"/>
          <w:sz w:val="20"/>
        </w:rPr>
      </w:pPr>
      <w:r>
        <w:rPr>
          <w:rFonts w:ascii="Times New Roman" w:hAnsi="Times New Roman"/>
          <w:b/>
          <w:color w:val="000000"/>
          <w:sz w:val="20"/>
        </w:rPr>
        <w:t>Listing</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Capital Market under the trading symbol “CRDF.”</w:t>
      </w:r>
    </w:p>
    <w:p>
      <w:pPr>
        <w:pStyle w:val="TextBody"/>
        <w:bidi w:val="0"/>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jc w:val="both"/>
        <w:rPr>
          <w:rFonts w:ascii="Times New Roman" w:hAnsi="Times New Roman"/>
          <w:color w:val="000000"/>
          <w:sz w:val="20"/>
        </w:rPr>
      </w:pPr>
      <w:r>
        <w:rPr>
          <w:rFonts w:ascii="Times New Roman" w:hAnsi="Times New Roman"/>
          <w:color w:val="000000"/>
          <w:sz w:val="20"/>
        </w:rPr>
        <w:t>The Transfer Agent and Registrar for our common stock is Pacific Stock Transfer Company, Inc.</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section10_1"/>
      <w:bookmarkEnd w:id="26"/>
      <w:r>
        <w:rPr>
          <w:rFonts w:ascii="Times New Roman" w:hAnsi="Times New Roman"/>
          <w:b/>
          <w:color w:val="000000"/>
          <w:sz w:val="20"/>
        </w:rPr>
        <w:t>DESCRIPTION OF DEBT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However, no prospectus supplement shall fundamentally change the terms that are set forth in this prospectus or offer a security that is not registered and described in this prospectus at the time of its effectiveness. As of the date of this prospectus, we have no outstanding registered debt securities. Unless the context requires otherwise, whenever we refer to the “indentures,” we also are referring to any supplemental indentures that specify the terms of a particular series of debt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indentures will be qualified under the Trust Indenture Act of 1939, as amended (the “Trust Indenture Act”). We use the term “trustee” to refer to either the trustee under the senior indenture or the trustee under the subordinated indenture, as applicable.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indentures that contains the terms of the debt securities. Except as we may otherwise indicate, the terms of the senior indenture and the subordinated indenture are identical.</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title;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principal amount being offered, and if a series, the total amount authorized and the total amount outstanding;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limit on the amount that may be issued;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or not we will issue the series of debt securities in global form, and, if so, the terms and who the depositary will be;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maturity date;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or not the debt securities will be secured or unsecured, and the terms of any secured debt;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terms of the subordination of any series of subordinated debt;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place where payments will be made;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transfer, sale or other assignment, if 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right, if any, to defer payment of interest and the maximum length of any such deferral period;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date, if any, after which, and the price at which, we may, at our option, redeem the series of debt securities pursuant to any optional or provisional redemption provisions and the terms of those redemption provisions;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the indenture will restrict our ability or the ability of our subsidiaries, if any,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 additional securities;</w:t>
      </w:r>
    </w:p>
    <w:p>
      <w:pPr>
        <w:pStyle w:val="TextBody"/>
        <w:bidi w:val="0"/>
        <w:spacing w:before="0" w:after="12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create liens;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pay dividends or make distributions in respect of our capital stock or the capital stock of our subsidiaries;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redeem capital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place restrictions on our subsidiaries’ ability to pay dividends, make distributions or transfer assets;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make investments or other restricted payments;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sell or otherwise dispose of assets;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enter into sale-leaseback transactions;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engage in transactions with stockholders or affiliates;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 or sell stock of our subsidiaries;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 a consolidation or merger;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the indenture will require us to maintain any interest coverage, fixed charge, cash flow-based, asset-based or other financial ratios;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discussion of certain material or special United States federal income tax considerations applicable to the debt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information describing any book-entry features;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applicability of the provisions in the indenture on discharge;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the debt securities are to be offered at a price such that they will be deemed to be offered at an “original issue discount” as defined in paragraph (a) of Section 1273 of the Internal Revenue Code of 1986, as amended;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denominations in which we will issue the series of debt securities, if other than denominations of $1,000 and any integral multiple thereof;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currency of payment of debt securities if other than U.S. dollars and the manner of determining the equivalent amount in U.S. dollars;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pStyle w:val="TextBody"/>
        <w:bidi w:val="0"/>
        <w:jc w:val="both"/>
        <w:rPr>
          <w:rFonts w:ascii="Times New Roman" w:hAnsi="Times New Roman"/>
          <w:b/>
          <w:color w:val="000000"/>
          <w:sz w:val="20"/>
        </w:rPr>
      </w:pPr>
      <w:r>
        <w:rPr>
          <w:rFonts w:ascii="Times New Roman" w:hAnsi="Times New Roman"/>
          <w:b/>
          <w:color w:val="000000"/>
          <w:sz w:val="20"/>
        </w:rPr>
        <w:t>Conversion or Exchange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pStyle w:val="TextBody"/>
        <w:bidi w:val="0"/>
        <w:jc w:val="both"/>
        <w:rPr>
          <w:rFonts w:ascii="Times New Roman" w:hAnsi="Times New Roman"/>
          <w:b/>
          <w:color w:val="000000"/>
          <w:sz w:val="20"/>
        </w:rPr>
      </w:pPr>
      <w:r>
        <w:rPr>
          <w:rFonts w:ascii="Times New Roman" w:hAnsi="Times New Roman"/>
          <w:b/>
          <w:color w:val="000000"/>
          <w:sz w:val="20"/>
        </w:rPr>
        <w:t>Consolidation, Merger or Sale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we provide otherwise in the prospectus supplement applicable to a particular series of debt securities, the indentures will not contain any covenant that restricts our ability to merge or consolidate, or sell, convey, transfer or otherwise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dispose of all or substantially all of our assets. However, any successor to or acquirer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jc w:val="both"/>
        <w:rPr>
          <w:rFonts w:ascii="Times New Roman" w:hAnsi="Times New Roman"/>
          <w:b/>
          <w:color w:val="000000"/>
          <w:sz w:val="20"/>
        </w:rPr>
      </w:pPr>
      <w:r>
        <w:rPr>
          <w:rFonts w:ascii="Times New Roman" w:hAnsi="Times New Roman"/>
          <w:b/>
          <w:color w:val="000000"/>
          <w:sz w:val="20"/>
        </w:rPr>
        <w:t>Events of Default under the Indenture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fail to pay interest when due and payable and our failure continues for 90 days and the time for payment has not been extended;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fail to pay the principal, premium or sinking fund payment, if any, when due and payable at maturity, upon redemption or repurchase or otherwise, and the time for payment has not been extended;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specified events of bankruptcy, insolvency or reorganization occur.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describe in each applicable prospectus supplement any additional events of default relating to the relevant series of debt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direction so given by the holder is not in conflict with any law or the applicable indenture;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indentures will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liability. Prior to taking any action under the indentures, the trustee will be entitled to indemnification against all costs, expenses and liabilities that would be incurred by taking or not taking such action.</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holder of the debt securities of any series will have the right to institute a proceeding under the indentures or to appoint a receiver or trustee, or to seek other remedies only if: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 has given written notice to the trustee of a continuing event of default with respect to that series;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at least 25% in aggregate principal amount of the outstanding debt securities of that series have made a written request and such holders have offered reasonable indemnity to the trustee or security satisfactory to it against any loss, liability or expense or to be incurred in compliance with instituting the proceeding as trustee;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periodically file statements with the trustee regarding our compliance with specified covenants in the indentures.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indentures will provide that if a default occurs and is continuing and is actually known to a responsible officer of the trustee, the trustee must mail to each holder notice of the default within the earlier of 90 days after it occurs and 30 days after it is known by a responsible officer of the trustee or written notice of it is received by the trustee, unless such default has been cured or waived.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pStyle w:val="TextBody"/>
        <w:bidi w:val="0"/>
        <w:jc w:val="both"/>
        <w:rPr>
          <w:rFonts w:ascii="Times New Roman" w:hAnsi="Times New Roman"/>
          <w:b/>
          <w:color w:val="000000"/>
          <w:sz w:val="20"/>
        </w:rPr>
      </w:pPr>
      <w:r>
        <w:rPr>
          <w:rFonts w:ascii="Times New Roman" w:hAnsi="Times New Roman"/>
          <w:b/>
          <w:color w:val="000000"/>
          <w:sz w:val="20"/>
        </w:rPr>
        <w:t>Modification of Indenture; Waiver</w:t>
      </w:r>
    </w:p>
    <w:p>
      <w:pPr>
        <w:pStyle w:val="TextBody"/>
        <w:bidi w:val="0"/>
        <w:jc w:val="both"/>
        <w:rPr>
          <w:rFonts w:ascii="Times New Roman" w:hAnsi="Times New Roman"/>
          <w:color w:val="000000"/>
          <w:sz w:val="20"/>
        </w:rPr>
      </w:pPr>
      <w:r>
        <w:rPr>
          <w:rFonts w:ascii="Times New Roman" w:hAnsi="Times New Roman"/>
          <w:color w:val="000000"/>
          <w:sz w:val="20"/>
        </w:rPr>
        <w:t>Subject to the terms of the indenture for any series of debt securities that we may issue, we and the trustee may change an indenture without the consent of any holders with respect to the following specific matters: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fix any ambiguity, defect or inconsistency in the indenture;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comply with the provisions described above under “Description of Debt Securities — Consolidation, Merger or Sale;”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comply with any requirements of the SEC in connection with the qualification of any indenture under the Trust Indenture Act;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provide for the issuance of, and establish the form and terms and conditions of, the debt securities of any series as provided under “Description of Debt Securities — 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evidence and provide for the acceptance of appointment hereunder by a successor trustee;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provide for uncertificated debt securities and to make all appropriate changes for such purpose;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add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change anything that does not adversely affect the interests of any holder of debt securities of any series in any material respect.</w:t>
      </w:r>
    </w:p>
    <w:p>
      <w:pPr>
        <w:pStyle w:val="TextBody"/>
        <w:bidi w:val="0"/>
        <w:jc w:val="both"/>
        <w:rPr>
          <w:rFonts w:ascii="Times New Roman" w:hAnsi="Times New Roman"/>
          <w:color w:val="000000"/>
          <w:sz w:val="20"/>
        </w:rPr>
      </w:pPr>
      <w:r>
        <w:rPr>
          <w:rFonts w:ascii="Times New Roman" w:hAnsi="Times New Roman"/>
          <w:color w:val="000000"/>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otherwise provided in the prospectus supplement applicable to a particular series of debt securities, we and the trustee may only make the following changes with the consent of each holder of any outstanding debt securities affected: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extending the stated maturity of the series of debt securities;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reducing the principal amount, reducing the rate of or extending the time of payment of interest, or reducing any premium payable upon the redemption or repurchase of any debt securities;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reducing the percentage of debt securities, the holders of which are required to consent to any amendment, supplement, modification or waiver.</w:t>
      </w:r>
    </w:p>
    <w:p>
      <w:pPr>
        <w:pStyle w:val="TextBody"/>
        <w:bidi w:val="0"/>
        <w:jc w:val="both"/>
        <w:rPr>
          <w:rFonts w:ascii="Times New Roman" w:hAnsi="Times New Roman"/>
          <w:b/>
          <w:color w:val="000000"/>
          <w:sz w:val="20"/>
        </w:rPr>
      </w:pPr>
      <w:r>
        <w:rPr>
          <w:rFonts w:ascii="Times New Roman" w:hAnsi="Times New Roman"/>
          <w:b/>
          <w:color w:val="000000"/>
          <w:sz w:val="20"/>
        </w:rPr>
        <w:t>Discharge</w:t>
      </w:r>
    </w:p>
    <w:p>
      <w:pPr>
        <w:pStyle w:val="TextBody"/>
        <w:bidi w:val="0"/>
        <w:jc w:val="both"/>
        <w:rPr>
          <w:rFonts w:ascii="Times New Roman" w:hAnsi="Times New Roman"/>
          <w:color w:val="000000"/>
          <w:sz w:val="20"/>
        </w:rPr>
      </w:pPr>
      <w:r>
        <w:rPr>
          <w:rFonts w:ascii="Times New Roman" w:hAnsi="Times New Roman"/>
          <w:color w:val="000000"/>
          <w:sz w:val="20"/>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register the transfer or exchange of debt securities of the series;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replace stolen, lost or mutilated debt securities of the series;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maintain paying agencies;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hold monies for payment in trust;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recover excess money held by the trustee;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compensate and indemnify the trustee;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appoint any successor trustee.</w:t>
      </w:r>
    </w:p>
    <w:p>
      <w:pPr>
        <w:pStyle w:val="TextBody"/>
        <w:bidi w:val="0"/>
        <w:jc w:val="both"/>
        <w:rPr>
          <w:rFonts w:ascii="Times New Roman" w:hAnsi="Times New Roman"/>
          <w:color w:val="000000"/>
          <w:sz w:val="20"/>
        </w:rPr>
      </w:pPr>
      <w:r>
        <w:rPr>
          <w:rFonts w:ascii="Times New Roman" w:hAnsi="Times New Roman"/>
          <w:color w:val="000000"/>
          <w:sz w:val="20"/>
        </w:rPr>
        <w:t>In order to exercise our rights to be discharged, we will deposit with the trustee money or government obligations sufficient to pay all the principal of, and any premium and interest on, the debt securities of the series on the dates payments are due.</w:t>
      </w:r>
    </w:p>
    <w:p>
      <w:pPr>
        <w:pStyle w:val="TextBody"/>
        <w:bidi w:val="0"/>
        <w:jc w:val="both"/>
        <w:rPr>
          <w:rFonts w:ascii="Times New Roman" w:hAnsi="Times New Roman"/>
          <w:b/>
          <w:color w:val="000000"/>
          <w:sz w:val="20"/>
        </w:rPr>
      </w:pPr>
      <w:r>
        <w:rPr>
          <w:rFonts w:ascii="Times New Roman" w:hAnsi="Times New Roman"/>
          <w:b/>
          <w:color w:val="000000"/>
          <w:sz w:val="20"/>
        </w:rPr>
        <w:t>Form, Exchange and Transfer</w:t>
      </w:r>
    </w:p>
    <w:p>
      <w:pPr>
        <w:pStyle w:val="TextBody"/>
        <w:bidi w:val="0"/>
        <w:spacing w:before="0" w:after="120"/>
        <w:jc w:val="both"/>
        <w:rPr>
          <w:rFonts w:ascii="Times New Roman" w:hAnsi="Times New Roman"/>
          <w:sz w:val="20"/>
        </w:rPr>
      </w:pPr>
      <w:r>
        <w:rPr>
          <w:rFonts w:ascii="Times New Roman" w:hAnsi="Times New Roman"/>
          <w:color w:val="000000"/>
          <w:sz w:val="20"/>
        </w:rPr>
        <w:t>We will issue the debt securities of each series only in fully registered form without coupons and, unless we otherwise specify in the applicable prospectus supplement, in denominations of $1,000 and any integral multiple thereof. The indentures will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See “</w:t>
      </w:r>
      <w:r>
        <w:rPr>
          <w:rFonts w:ascii="Times New Roman" w:hAnsi="Times New Roman"/>
          <w:i/>
          <w:color w:val="000000"/>
          <w:sz w:val="20"/>
        </w:rPr>
        <w:t>Legal Ownership of Securities</w:t>
      </w:r>
      <w:r>
        <w:rPr>
          <w:rFonts w:ascii="Times New Roman" w:hAnsi="Times New Roman"/>
          <w:color w:val="000000"/>
          <w:sz w:val="20"/>
        </w:rPr>
        <w:t>” below for a further description of the terms relating to any book-entry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elect to redeem the debt securities of any series, we will not be required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register the transfer of or exchange any debt securities so selected for redemption, in whole or in part, except the unredeemed portion of any debt securities we are redeeming in part.</w:t>
      </w:r>
    </w:p>
    <w:p>
      <w:pPr>
        <w:pStyle w:val="TextBody"/>
        <w:bidi w:val="0"/>
        <w:jc w:val="both"/>
        <w:rPr>
          <w:rFonts w:ascii="Times New Roman" w:hAnsi="Times New Roman"/>
          <w:b/>
          <w:color w:val="000000"/>
          <w:sz w:val="20"/>
        </w:rPr>
      </w:pPr>
      <w:r>
        <w:rPr>
          <w:rFonts w:ascii="Times New Roman" w:hAnsi="Times New Roman"/>
          <w:b/>
          <w:color w:val="000000"/>
          <w:sz w:val="20"/>
        </w:rPr>
        <w:t>Information Concerning the Trustee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Payment and Paying Agents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jc w:val="both"/>
        <w:rPr>
          <w:rFonts w:ascii="Times New Roman" w:hAnsi="Times New Roman"/>
          <w:b/>
          <w:color w:val="000000"/>
          <w:sz w:val="20"/>
        </w:rPr>
      </w:pPr>
      <w:r>
        <w:rPr>
          <w:rFonts w:ascii="Times New Roman" w:hAnsi="Times New Roman"/>
          <w:b/>
          <w:color w:val="000000"/>
          <w:sz w:val="20"/>
        </w:rPr>
        <w:t>Governing Law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indentures and the debt securities will be governed by and construed in accordance with the laws of the State of New York, except to the extent that the Trust Indenture Act is applicable.</w:t>
      </w:r>
    </w:p>
    <w:p>
      <w:pPr>
        <w:pStyle w:val="TextBody"/>
        <w:bidi w:val="0"/>
        <w:jc w:val="both"/>
        <w:rPr>
          <w:rFonts w:ascii="Times New Roman" w:hAnsi="Times New Roman"/>
          <w:b/>
          <w:color w:val="000000"/>
          <w:sz w:val="20"/>
        </w:rPr>
      </w:pPr>
      <w:r>
        <w:rPr>
          <w:rFonts w:ascii="Times New Roman" w:hAnsi="Times New Roman"/>
          <w:b/>
          <w:color w:val="000000"/>
          <w:sz w:val="20"/>
        </w:rPr>
        <w:t>Ranking Debt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subordinated debt securities will be unsecured and will be subordinate and junior in priority of payment to certain other indebtedness to the extent described in a prospectus supplement. The subordinated indenture does not limit the amount of subordinated debt securities that we may issue. It also does not limit us from issuing any other secured or unsecured debt.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ection11_1"/>
      <w:bookmarkEnd w:id="27"/>
      <w:r>
        <w:rPr>
          <w:rFonts w:ascii="Times New Roman" w:hAnsi="Times New Roman"/>
          <w:b/>
          <w:color w:val="000000"/>
          <w:sz w:val="20"/>
        </w:rPr>
        <w:t>DESCRIPTION OF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jc w:val="both"/>
        <w:rPr>
          <w:rFonts w:ascii="Times New Roman" w:hAnsi="Times New Roman"/>
          <w:color w:val="000000"/>
          <w:sz w:val="20"/>
        </w:rPr>
      </w:pPr>
      <w:r>
        <w:rPr>
          <w:rFonts w:ascii="Times New Roman" w:hAnsi="Times New Roman"/>
          <w:color w:val="000000"/>
          <w:sz w:val="20"/>
        </w:rPr>
        <w:t>We will describe in the applicable prospectus supplement the terms relating to a series of warrants, including: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offering price and aggregate number of warrants offered;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currency for which the warrants may be purchased;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applicable, the date on and after which the warrants and the related securities will be separately transferable;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effect of any merger, consolidation, sale or other disposition of our business on the warrant agreements and the warrants;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terms of any rights to redeem or call the warrants;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provisions for changes to or adjustments in the exercise price or number of securities issuable upon exercise of the warrants;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dates on which the right to exercise the warrants will commence and expire;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manner in which the warrant agreements and warrants may be modified;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United States federal income tax consequences of holding or exercising the warrants;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terms of the securities issuable upon exercise of the warrants;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other specific terms, preferences, rights or limitations of or restrictions on the warrants.</w:t>
      </w:r>
    </w:p>
    <w:p>
      <w:pPr>
        <w:pStyle w:val="TextBody"/>
        <w:bidi w:val="0"/>
        <w:jc w:val="both"/>
        <w:rPr>
          <w:rFonts w:ascii="Times New Roman" w:hAnsi="Times New Roman"/>
          <w:color w:val="000000"/>
          <w:sz w:val="20"/>
        </w:rPr>
      </w:pPr>
      <w:r>
        <w:rPr>
          <w:rFonts w:ascii="Times New Roman" w:hAnsi="Times New Roman"/>
          <w:color w:val="000000"/>
          <w:sz w:val="20"/>
        </w:rPr>
        <w:t>Before exercising their warrants, holders of warrants will not have any of the rights of holders of the securities purchasable upon such exercise, including: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jc w:val="both"/>
        <w:rPr>
          <w:rFonts w:ascii="Times New Roman" w:hAnsi="Times New Roman"/>
          <w:b/>
          <w:color w:val="000000"/>
          <w:sz w:val="20"/>
        </w:rPr>
      </w:pPr>
      <w:r>
        <w:rPr>
          <w:rFonts w:ascii="Times New Roman" w:hAnsi="Times New Roman"/>
          <w:b/>
          <w:color w:val="000000"/>
          <w:sz w:val="20"/>
        </w:rPr>
        <w:t>Exercise of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jc w:val="both"/>
        <w:rPr>
          <w:rFonts w:ascii="Times New Roman" w:hAnsi="Times New Roman"/>
          <w:b/>
          <w:color w:val="000000"/>
          <w:sz w:val="20"/>
        </w:rPr>
      </w:pPr>
      <w:r>
        <w:rPr>
          <w:rFonts w:ascii="Times New Roman" w:hAnsi="Times New Roman"/>
          <w:b/>
          <w:color w:val="000000"/>
          <w:sz w:val="20"/>
        </w:rPr>
        <w:t>Enforceability of Rights by Holders of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ection12_1"/>
      <w:bookmarkEnd w:id="28"/>
      <w:r>
        <w:rPr>
          <w:rFonts w:ascii="Times New Roman" w:hAnsi="Times New Roman"/>
          <w:b/>
          <w:color w:val="000000"/>
          <w:sz w:val="20"/>
        </w:rPr>
        <w:t>DESCRIPTION OF UNITS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units comprised of one or more debt securities, shares of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describe in the applicable prospectus supplement the terms of the series of units,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designation and terms of the units and of the securities comprising the units, including whether and under what circumstances those securities may be held or transferred separately;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provisions of the governing unit agreement that differ from those described below;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provisions for the issuance, payment, settlement, transfer or exchange of the units or of the securities comprising the units.</w:t>
      </w:r>
    </w:p>
    <w:p>
      <w:pPr>
        <w:pStyle w:val="TextBody"/>
        <w:bidi w:val="0"/>
        <w:spacing w:before="0" w:after="120"/>
        <w:jc w:val="both"/>
        <w:rPr>
          <w:rFonts w:ascii="Times New Roman" w:hAnsi="Times New Roman"/>
          <w:sz w:val="20"/>
        </w:rPr>
      </w:pPr>
      <w:r>
        <w:rPr>
          <w:rFonts w:ascii="Times New Roman" w:hAnsi="Times New Roman"/>
          <w:color w:val="000000"/>
          <w:sz w:val="20"/>
        </w:rPr>
        <w:t>The provisions described in this section, as well as those described under “</w:t>
      </w:r>
      <w:r>
        <w:rPr>
          <w:rFonts w:ascii="Times New Roman" w:hAnsi="Times New Roman"/>
          <w:i/>
          <w:color w:val="000000"/>
          <w:sz w:val="20"/>
        </w:rPr>
        <w:t>Description of Capital Stock</w:t>
      </w:r>
      <w:r>
        <w:rPr>
          <w:rFonts w:ascii="Times New Roman" w:hAnsi="Times New Roman"/>
          <w:color w:val="000000"/>
          <w:sz w:val="20"/>
        </w:rPr>
        <w:t>,” “</w:t>
      </w:r>
      <w:r>
        <w:rPr>
          <w:rFonts w:ascii="Times New Roman" w:hAnsi="Times New Roman"/>
          <w:i/>
          <w:color w:val="000000"/>
          <w:sz w:val="20"/>
        </w:rPr>
        <w:t>Description of Debt Securities</w:t>
      </w:r>
      <w:r>
        <w:rPr>
          <w:rFonts w:ascii="Times New Roman" w:hAnsi="Times New Roman"/>
          <w:color w:val="000000"/>
          <w:sz w:val="20"/>
        </w:rPr>
        <w:t>” and “</w:t>
      </w:r>
      <w:r>
        <w:rPr>
          <w:rFonts w:ascii="Times New Roman" w:hAnsi="Times New Roman"/>
          <w:i/>
          <w:color w:val="000000"/>
          <w:sz w:val="20"/>
        </w:rPr>
        <w:t>Description of Warrants</w:t>
      </w:r>
      <w:r>
        <w:rPr>
          <w:rFonts w:ascii="Times New Roman" w:hAnsi="Times New Roman"/>
          <w:color w:val="000000"/>
          <w:sz w:val="20"/>
        </w:rPr>
        <w:t>” will apply to each unit and to any common stock, preferred stock, debt security or warrant included in each unit, respectively.</w:t>
      </w:r>
    </w:p>
    <w:p>
      <w:pPr>
        <w:pStyle w:val="TextBody"/>
        <w:bidi w:val="0"/>
        <w:jc w:val="both"/>
        <w:rPr>
          <w:rFonts w:ascii="Times New Roman" w:hAnsi="Times New Roman"/>
          <w:b/>
          <w:i/>
          <w:color w:val="000000"/>
          <w:sz w:val="20"/>
        </w:rPr>
      </w:pPr>
      <w:r>
        <w:rPr>
          <w:rFonts w:ascii="Times New Roman" w:hAnsi="Times New Roman"/>
          <w:b/>
          <w:i/>
          <w:color w:val="000000"/>
          <w:sz w:val="20"/>
        </w:rPr>
        <w:t>Unit Agent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name and address of the unit agent, if any, for any units we offer will be set forth in the applicable prospectus supplement.</w:t>
      </w:r>
    </w:p>
    <w:p>
      <w:pPr>
        <w:pStyle w:val="TextBody"/>
        <w:bidi w:val="0"/>
        <w:jc w:val="both"/>
        <w:rPr>
          <w:rFonts w:ascii="Times New Roman" w:hAnsi="Times New Roman"/>
          <w:b/>
          <w:color w:val="000000"/>
          <w:sz w:val="20"/>
        </w:rPr>
      </w:pPr>
      <w:r>
        <w:rPr>
          <w:rFonts w:ascii="Times New Roman" w:hAnsi="Times New Roman"/>
          <w:b/>
          <w:color w:val="000000"/>
          <w:sz w:val="20"/>
        </w:rPr>
        <w:t>Issuance in Series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units in such amounts and in numerous distinct series as we determine.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Enforceability of Rights by Holders of Units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120"/>
        <w:jc w:val="both"/>
        <w:rPr>
          <w:rFonts w:ascii="Times New Roman" w:hAnsi="Times New Roman"/>
          <w:sz w:val="20"/>
        </w:rPr>
      </w:pPr>
      <w:r>
        <w:rPr>
          <w:rFonts w:ascii="Times New Roman" w:hAnsi="Times New Roman"/>
          <w:color w:val="000000"/>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w:t>
      </w:r>
      <w:r>
        <w:rPr>
          <w:rFonts w:ascii="Times New Roman" w:hAnsi="Times New Roman"/>
          <w:i/>
          <w:color w:val="000000"/>
          <w:sz w:val="20"/>
        </w:rPr>
        <w:t>Legal Ownership of Securities</w:t>
      </w:r>
      <w:r>
        <w:rPr>
          <w:rFonts w:ascii="Times New Roman" w:hAnsi="Times New Roman"/>
          <w:color w:val="000000"/>
          <w:sz w:val="20"/>
        </w:rPr>
        <w:t>.”</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9" w:name="section13_1"/>
      <w:bookmarkEnd w:id="29"/>
      <w:r>
        <w:rPr/>
        <w:t> </w:t>
      </w:r>
    </w:p>
    <w:p>
      <w:pPr>
        <w:pStyle w:val="TextBody"/>
        <w:bidi w:val="0"/>
        <w:jc w:val="center"/>
        <w:rPr>
          <w:rFonts w:ascii="Times New Roman" w:hAnsi="Times New Roman"/>
          <w:b/>
          <w:color w:val="000000"/>
          <w:sz w:val="20"/>
        </w:rPr>
      </w:pPr>
      <w:r>
        <w:rPr>
          <w:rFonts w:ascii="Times New Roman" w:hAnsi="Times New Roman"/>
          <w:b/>
          <w:color w:val="000000"/>
          <w:sz w:val="20"/>
        </w:rPr>
        <w:t>LEGAL OWNERSHIP OF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jc w:val="both"/>
        <w:rPr>
          <w:rFonts w:ascii="Times New Roman" w:hAnsi="Times New Roman"/>
          <w:b/>
          <w:color w:val="000000"/>
          <w:sz w:val="20"/>
        </w:rPr>
      </w:pPr>
      <w:r>
        <w:rPr>
          <w:rFonts w:ascii="Times New Roman" w:hAnsi="Times New Roman"/>
          <w:b/>
          <w:color w:val="000000"/>
          <w:sz w:val="20"/>
        </w:rPr>
        <w:t>Book-Entry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jc w:val="both"/>
        <w:rPr>
          <w:rFonts w:ascii="Times New Roman" w:hAnsi="Times New Roman"/>
          <w:b/>
          <w:color w:val="000000"/>
          <w:sz w:val="20"/>
        </w:rPr>
      </w:pPr>
      <w:r>
        <w:rPr>
          <w:rFonts w:ascii="Times New Roman" w:hAnsi="Times New Roman"/>
          <w:b/>
          <w:color w:val="000000"/>
          <w:sz w:val="20"/>
        </w:rPr>
        <w:t>Street Name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pStyle w:val="TextBody"/>
        <w:bidi w:val="0"/>
        <w:jc w:val="both"/>
        <w:rPr>
          <w:rFonts w:ascii="Times New Roman" w:hAnsi="Times New Roman"/>
          <w:b/>
          <w:color w:val="000000"/>
          <w:sz w:val="20"/>
        </w:rPr>
      </w:pPr>
      <w:r>
        <w:rPr>
          <w:rFonts w:ascii="Times New Roman" w:hAnsi="Times New Roman"/>
          <w:b/>
          <w:color w:val="000000"/>
          <w:sz w:val="20"/>
        </w:rPr>
        <w:t>Legal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event, we would seek approval only from the legal holders, and not the indirect holders, of the securities. Whether and how the legal holders contact the indirect holders is up to the legal holders.</w:t>
      </w:r>
    </w:p>
    <w:p>
      <w:pPr>
        <w:pStyle w:val="TextBody"/>
        <w:bidi w:val="0"/>
        <w:jc w:val="both"/>
        <w:rPr>
          <w:rFonts w:ascii="Times New Roman" w:hAnsi="Times New Roman"/>
          <w:b/>
          <w:color w:val="000000"/>
          <w:sz w:val="20"/>
        </w:rPr>
      </w:pPr>
      <w:r>
        <w:rPr>
          <w:rFonts w:ascii="Times New Roman" w:hAnsi="Times New Roman"/>
          <w:b/>
          <w:color w:val="000000"/>
          <w:sz w:val="20"/>
        </w:rPr>
        <w:t>Special Considerations for Indirect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 it handles securities payments and notices;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it imposes fees or charges;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 it would handle a request for the holders’ consent, if ever required;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how you can instruct it to send you securities registered in your own name so you can be a legal holder, if that is permitted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 it would exercise rights under the securities if there were a default or other event triggering the need for holders to act to protect their interests;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securities are in book-entry form, how the depositary’s rules and procedures will affect these matters.</w:t>
      </w:r>
    </w:p>
    <w:p>
      <w:pPr>
        <w:pStyle w:val="TextBody"/>
        <w:bidi w:val="0"/>
        <w:jc w:val="both"/>
        <w:rPr>
          <w:rFonts w:ascii="Times New Roman" w:hAnsi="Times New Roman"/>
          <w:b/>
          <w:color w:val="000000"/>
          <w:sz w:val="20"/>
        </w:rPr>
      </w:pPr>
      <w:r>
        <w:rPr>
          <w:rFonts w:ascii="Times New Roman" w:hAnsi="Times New Roman"/>
          <w:b/>
          <w:color w:val="000000"/>
          <w:sz w:val="20"/>
        </w:rPr>
        <w:t>Global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 global security may not be transferred to or registered in the name of anyone other than the depositary, its nominee or a successor depositary, unless special termination situations arise. We describe those situations below under “— </w:t>
      </w:r>
      <w:r>
        <w:rPr>
          <w:rFonts w:ascii="Times New Roman" w:hAnsi="Times New Roman"/>
          <w:i/>
          <w:color w:val="000000"/>
          <w:sz w:val="20"/>
        </w:rPr>
        <w:t>Special Situations When A Global Security Will Be Terminated</w:t>
      </w:r>
      <w:r>
        <w:rPr>
          <w:rFonts w:ascii="Times New Roman" w:hAnsi="Times New Roman"/>
          <w:color w:val="000000"/>
          <w:sz w:val="20"/>
        </w:rPr>
        <w:t>.”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Considerations For Global Securities</w:t>
      </w:r>
    </w:p>
    <w:p>
      <w:pPr>
        <w:pStyle w:val="TextBody"/>
        <w:bidi w:val="0"/>
        <w:jc w:val="both"/>
        <w:rPr>
          <w:rFonts w:ascii="Times New Roman" w:hAnsi="Times New Roman"/>
          <w:color w:val="000000"/>
          <w:sz w:val="20"/>
        </w:rPr>
      </w:pPr>
      <w:r>
        <w:rPr>
          <w:rFonts w:ascii="Times New Roman" w:hAnsi="Times New Roman"/>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securities are issued only as global securities, an investor should be aware of the following: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pStyle w:val="TextBody"/>
        <w:bidi w:val="0"/>
        <w:jc w:val="both"/>
        <w:rPr>
          <w:rFonts w:ascii="Times New Roman" w:hAnsi="Times New Roman"/>
          <w:b/>
          <w:color w:val="000000"/>
          <w:sz w:val="20"/>
        </w:rPr>
      </w:pPr>
      <w:r>
        <w:rPr>
          <w:rFonts w:ascii="Times New Roman" w:hAnsi="Times New Roman"/>
          <w:b/>
          <w:color w:val="000000"/>
          <w:sz w:val="20"/>
        </w:rPr>
        <w:t>Special Situations When A Global Security Will Be Terminated</w:t>
      </w:r>
    </w:p>
    <w:p>
      <w:pPr>
        <w:pStyle w:val="TextBody"/>
        <w:bidi w:val="0"/>
        <w:jc w:val="both"/>
        <w:rPr>
          <w:rFonts w:ascii="Times New Roman" w:hAnsi="Times New Roman"/>
          <w:color w:val="000000"/>
          <w:sz w:val="20"/>
        </w:rPr>
      </w:pPr>
      <w:r>
        <w:rPr>
          <w:rFonts w:ascii="Times New Roman" w:hAnsi="Times New Roman"/>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jc w:val="both"/>
        <w:rPr>
          <w:rFonts w:ascii="Times New Roman" w:hAnsi="Times New Roman"/>
          <w:color w:val="000000"/>
          <w:sz w:val="20"/>
        </w:rPr>
      </w:pPr>
      <w:r>
        <w:rPr>
          <w:rFonts w:ascii="Times New Roman" w:hAnsi="Times New Roman"/>
          <w:color w:val="000000"/>
          <w:sz w:val="20"/>
        </w:rPr>
        <w:t>A global security will terminate when the following special situations occur: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we notify any applicable trustee that we wish to terminate that global security; or</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 event of default has occurred with regard to securities represented by that global security and has not been cured or waived.</w:t>
      </w:r>
    </w:p>
    <w:p>
      <w:pPr>
        <w:pStyle w:val="TextBody"/>
        <w:bidi w:val="0"/>
        <w:jc w:val="both"/>
        <w:rPr>
          <w:rFonts w:ascii="Times New Roman" w:hAnsi="Times New Roman"/>
          <w:color w:val="000000"/>
          <w:sz w:val="20"/>
        </w:rPr>
      </w:pPr>
      <w:r>
        <w:rPr>
          <w:rFonts w:ascii="Times New Roman" w:hAnsi="Times New Roman"/>
          <w:color w:val="000000"/>
          <w:sz w:val="20"/>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ection14_1"/>
      <w:bookmarkEnd w:id="30"/>
      <w:r>
        <w:rPr>
          <w:rFonts w:ascii="Times New Roman" w:hAnsi="Times New Roman"/>
          <w:b/>
          <w:color w:val="000000"/>
          <w:sz w:val="20"/>
        </w:rPr>
        <w:t>PLAN OF DISTRIBUTION</w:t>
      </w:r>
    </w:p>
    <w:p>
      <w:pPr>
        <w:pStyle w:val="TextBody"/>
        <w:bidi w:val="0"/>
        <w:jc w:val="both"/>
        <w:rPr>
          <w:rFonts w:ascii="Times New Roman" w:hAnsi="Times New Roman"/>
          <w:color w:val="000000"/>
          <w:sz w:val="20"/>
        </w:rPr>
      </w:pPr>
      <w:r>
        <w:rPr>
          <w:rFonts w:ascii="Times New Roman" w:hAnsi="Times New Roman"/>
          <w:color w:val="000000"/>
          <w:sz w:val="20"/>
        </w:rPr>
        <w:t>We may sell the securities being offered hereby in one or more of the following ways from time to time: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through agents to the public or to investors;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underwriters for resale to the public or to investors;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negotiated transactions;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block trades;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directly to investors;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through a combination of any of these methods of sale.</w:t>
      </w:r>
    </w:p>
    <w:p>
      <w:pPr>
        <w:pStyle w:val="TextBody"/>
        <w:bidi w:val="0"/>
        <w:jc w:val="both"/>
        <w:rPr>
          <w:rFonts w:ascii="Times New Roman" w:hAnsi="Times New Roman"/>
          <w:color w:val="000000"/>
          <w:sz w:val="20"/>
        </w:rPr>
      </w:pPr>
      <w:r>
        <w:rPr>
          <w:rFonts w:ascii="Times New Roman" w:hAnsi="Times New Roman"/>
          <w:color w:val="000000"/>
          <w:sz w:val="20"/>
        </w:rPr>
        <w:t>As set forth in more detail below, the securities may be distributed from time to time in one or more transactions: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at a fixed price or prices, which may be changed;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at market prices prevailing at the time of sale;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at prices related to such prevailing market prices;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at negotiated prices.</w:t>
      </w:r>
    </w:p>
    <w:p>
      <w:pPr>
        <w:pStyle w:val="TextBody"/>
        <w:bidi w:val="0"/>
        <w:jc w:val="both"/>
        <w:rPr>
          <w:rFonts w:ascii="Times New Roman" w:hAnsi="Times New Roman"/>
          <w:color w:val="000000"/>
          <w:sz w:val="20"/>
        </w:rPr>
      </w:pPr>
      <w:r>
        <w:rPr>
          <w:rFonts w:ascii="Times New Roman" w:hAnsi="Times New Roman"/>
          <w:color w:val="000000"/>
          <w:sz w:val="20"/>
        </w:rPr>
        <w:t>We will set forth in a prospectus supplement the terms of that particular offering of securities, including: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name or names of any agents or underwriters;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purchase price of the securities being offered and the proceeds we will receive from the sale;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over-allotment options under which underwriters may purchase additional securities from us;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agency fees or underwriting discounts and other items constituting agents’ or underwriters’ compensation;</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initial public offering price;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discounts or concessions allowed or re-allowed or paid to dealers;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securities exchanges or markets on which such securities may be listed.</w:t>
      </w:r>
    </w:p>
    <w:p>
      <w:pPr>
        <w:pStyle w:val="TextBody"/>
        <w:bidi w:val="0"/>
        <w:jc w:val="both"/>
        <w:rPr>
          <w:rFonts w:ascii="Times New Roman" w:hAnsi="Times New Roman"/>
          <w:color w:val="000000"/>
          <w:sz w:val="20"/>
        </w:rPr>
      </w:pPr>
      <w:r>
        <w:rPr>
          <w:rFonts w:ascii="Times New Roman" w:hAnsi="Times New Roman"/>
          <w:color w:val="000000"/>
          <w:sz w:val="20"/>
        </w:rPr>
        <w:t>Only underwriters named in an applicable prospectus supplement are underwriters of the securities offered by that prospectus supplement.</w:t>
      </w:r>
    </w:p>
    <w:p>
      <w:pPr>
        <w:pStyle w:val="TextBody"/>
        <w:bidi w:val="0"/>
        <w:jc w:val="both"/>
        <w:rPr>
          <w:rFonts w:ascii="Times New Roman" w:hAnsi="Times New Roman"/>
          <w:color w:val="000000"/>
          <w:sz w:val="20"/>
        </w:rPr>
      </w:pPr>
      <w:r>
        <w:rPr>
          <w:rFonts w:ascii="Times New Roman" w:hAnsi="Times New Roman"/>
          <w:color w:val="000000"/>
          <w:sz w:val="20"/>
        </w:rPr>
        <w:t xml:space="preserve">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w:t>
      </w:r>
    </w:p>
    <w:p>
      <w:pPr>
        <w:pStyle w:val="TextBody"/>
        <w:bidi w:val="0"/>
        <w:jc w:val="both"/>
        <w:rPr>
          <w:rFonts w:ascii="Times New Roman" w:hAnsi="Times New Roman"/>
          <w:color w:val="000000"/>
          <w:sz w:val="20"/>
        </w:rPr>
      </w:pPr>
      <w:r>
        <w:rPr>
          <w:rFonts w:ascii="Times New Roman" w:hAnsi="Times New Roman"/>
          <w:color w:val="000000"/>
          <w:sz w:val="20"/>
        </w:rPr>
        <w:t>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jc w:val="both"/>
        <w:rPr>
          <w:rFonts w:ascii="Times New Roman" w:hAnsi="Times New Roman"/>
          <w:color w:val="000000"/>
          <w:sz w:val="20"/>
        </w:rPr>
      </w:pPr>
      <w:r>
        <w:rPr>
          <w:rFonts w:ascii="Times New Roman" w:hAnsi="Times New Roman"/>
          <w:color w:val="000000"/>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jc w:val="both"/>
        <w:rPr>
          <w:rFonts w:ascii="Times New Roman" w:hAnsi="Times New Roman"/>
          <w:color w:val="000000"/>
          <w:sz w:val="20"/>
        </w:rPr>
      </w:pPr>
      <w:r>
        <w:rPr>
          <w:rFonts w:ascii="Times New Roman" w:hAnsi="Times New Roman"/>
          <w:color w:val="000000"/>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pStyle w:val="TextBody"/>
        <w:bidi w:val="0"/>
        <w:jc w:val="both"/>
        <w:rPr>
          <w:rFonts w:ascii="Times New Roman" w:hAnsi="Times New Roman"/>
          <w:color w:val="000000"/>
          <w:sz w:val="20"/>
        </w:rPr>
      </w:pPr>
      <w:r>
        <w:rPr>
          <w:rFonts w:ascii="Times New Roman" w:hAnsi="Times New Roman"/>
          <w:color w:val="000000"/>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jc w:val="both"/>
        <w:rPr>
          <w:rFonts w:ascii="Times New Roman" w:hAnsi="Times New Roman"/>
          <w:color w:val="000000"/>
          <w:sz w:val="20"/>
        </w:rPr>
      </w:pPr>
      <w:r>
        <w:rPr>
          <w:rFonts w:ascii="Times New Roman" w:hAnsi="Times New Roman"/>
          <w:color w:val="000000"/>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jc w:val="both"/>
        <w:rPr>
          <w:rFonts w:ascii="Times New Roman" w:hAnsi="Times New Roman"/>
          <w:color w:val="000000"/>
          <w:sz w:val="20"/>
        </w:rPr>
      </w:pPr>
      <w:r>
        <w:rPr>
          <w:rFonts w:ascii="Times New Roman" w:hAnsi="Times New Roman"/>
          <w:color w:val="000000"/>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jc w:val="both"/>
        <w:rPr>
          <w:rFonts w:ascii="Times New Roman" w:hAnsi="Times New Roman"/>
          <w:color w:val="000000"/>
          <w:sz w:val="20"/>
        </w:rPr>
      </w:pPr>
      <w:r>
        <w:rPr>
          <w:rFonts w:ascii="Times New Roman" w:hAnsi="Times New Roman"/>
          <w:color w:val="000000"/>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jc w:val="both"/>
        <w:rPr>
          <w:rFonts w:ascii="Times New Roman" w:hAnsi="Times New Roman"/>
          <w:color w:val="000000"/>
          <w:sz w:val="20"/>
        </w:rPr>
      </w:pPr>
      <w:r>
        <w:rPr>
          <w:rFonts w:ascii="Times New Roman" w:hAnsi="Times New Roman"/>
          <w:color w:val="000000"/>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specified in the applicable prospectus supplement, each class or series of securities will be a new issue with no established trading market, other than our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pStyle w:val="TextBody"/>
        <w:bidi w:val="0"/>
        <w:jc w:val="both"/>
        <w:rPr>
          <w:rFonts w:ascii="Times New Roman" w:hAnsi="Times New Roman"/>
          <w:color w:val="000000"/>
          <w:sz w:val="20"/>
        </w:rPr>
      </w:pPr>
      <w:r>
        <w:rPr>
          <w:rFonts w:ascii="Times New Roman" w:hAnsi="Times New Roman"/>
          <w:color w:val="000000"/>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jc w:val="both"/>
        <w:rPr>
          <w:rFonts w:ascii="Times New Roman" w:hAnsi="Times New Roman"/>
          <w:color w:val="000000"/>
          <w:sz w:val="20"/>
        </w:rPr>
      </w:pPr>
      <w:r>
        <w:rPr>
          <w:rFonts w:ascii="Times New Roman" w:hAnsi="Times New Roman"/>
          <w:color w:val="000000"/>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jc w:val="both"/>
        <w:rPr>
          <w:rFonts w:ascii="Times New Roman" w:hAnsi="Times New Roman"/>
          <w:color w:val="000000"/>
          <w:sz w:val="20"/>
        </w:rPr>
      </w:pPr>
      <w:r>
        <w:rPr>
          <w:rFonts w:ascii="Times New Roman" w:hAnsi="Times New Roman"/>
          <w:color w:val="000000"/>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legalmatters1"/>
      <w:bookmarkEnd w:id="31"/>
      <w:r>
        <w:rPr>
          <w:rFonts w:ascii="Times New Roman" w:hAnsi="Times New Roman"/>
          <w:b/>
          <w:color w:val="000000"/>
          <w:sz w:val="20"/>
        </w:rPr>
        <w:t>LEGAL MATTERS</w:t>
      </w:r>
    </w:p>
    <w:p>
      <w:pPr>
        <w:pStyle w:val="TextBody"/>
        <w:bidi w:val="0"/>
        <w:jc w:val="both"/>
        <w:rPr>
          <w:rFonts w:ascii="Times New Roman" w:hAnsi="Times New Roman"/>
          <w:color w:val="000000"/>
          <w:sz w:val="20"/>
        </w:rPr>
      </w:pPr>
      <w:r>
        <w:rPr>
          <w:rFonts w:ascii="Times New Roman" w:hAnsi="Times New Roman"/>
          <w:color w:val="000000"/>
          <w:sz w:val="20"/>
        </w:rPr>
        <w:t>The validity of the issuance of the securities offered hereby will be passed upon for us by Sheppard, Mullin, Richter &amp; Hampton LLP, New York, NY. Additional legal matters may be passed upon for us or any underwriters, dealers or agents, by counsel that we will name in the applicable prospectus supplement.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ection16_1"/>
      <w:bookmarkEnd w:id="32"/>
      <w:r>
        <w:rPr>
          <w:rFonts w:ascii="Times New Roman" w:hAnsi="Times New Roman"/>
          <w:b/>
          <w:color w:val="000000"/>
          <w:sz w:val="20"/>
        </w:rPr>
        <w:t>EXPERTS</w:t>
      </w:r>
    </w:p>
    <w:p>
      <w:pPr>
        <w:pStyle w:val="TextBody"/>
        <w:bidi w:val="0"/>
        <w:jc w:val="both"/>
        <w:rPr>
          <w:rFonts w:ascii="Times New Roman" w:hAnsi="Times New Roman"/>
          <w:color w:val="000000"/>
          <w:sz w:val="20"/>
        </w:rPr>
      </w:pPr>
      <w:r>
        <w:rPr>
          <w:rFonts w:ascii="Times New Roman" w:hAnsi="Times New Roman"/>
          <w:color w:val="000000"/>
          <w:sz w:val="20"/>
        </w:rPr>
        <w:t>The financial statements of Cardiff Oncology, Inc. as of December 31, 2024 and 2023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ection17_1"/>
      <w:bookmarkEnd w:id="33"/>
      <w:r>
        <w:rPr>
          <w:rFonts w:ascii="Times New Roman" w:hAnsi="Times New Roman"/>
          <w:b/>
          <w:color w:val="000000"/>
          <w:sz w:val="20"/>
        </w:rPr>
        <w:t>WHERE YOU CAN FIND MORE INFORMATION</w:t>
      </w:r>
    </w:p>
    <w:p>
      <w:pPr>
        <w:pStyle w:val="TextBody"/>
        <w:bidi w:val="0"/>
        <w:jc w:val="both"/>
        <w:rPr>
          <w:rFonts w:ascii="Times New Roman" w:hAnsi="Times New Roman"/>
          <w:color w:val="000000"/>
          <w:sz w:val="20"/>
        </w:rPr>
      </w:pPr>
      <w:r>
        <w:rPr>
          <w:rFonts w:ascii="Times New Roman" w:hAnsi="Times New Roman"/>
          <w:color w:val="000000"/>
          <w:sz w:val="20"/>
        </w:rPr>
        <w:t>This prospectus constitutes a part of the registration statement on Form S-3 that we have filed with the SEC under the Securities Act. As permitted by the SEC’s rules, this prospectus supplement and any accompanying prospectus, which forms a part of the registration statement, do not contain all of the information that is included in the registration statement. You will find additional information about us in the registration statement. Any statement made in this prospectus supplement or any accompanying prospectus concerning legal documents are not necessarily complete and you should read the documents that are filed as exhibits to the registration statement or otherwise filed with the SEC for a more complete understanding of the document or matter.</w:t>
      </w:r>
    </w:p>
    <w:p>
      <w:pPr>
        <w:pStyle w:val="TextBody"/>
        <w:bidi w:val="0"/>
        <w:jc w:val="both"/>
        <w:rPr>
          <w:rFonts w:ascii="Times New Roman" w:hAnsi="Times New Roman"/>
          <w:sz w:val="20"/>
        </w:rPr>
      </w:pPr>
      <w:r>
        <w:rPr>
          <w:rFonts w:ascii="Times New Roman" w:hAnsi="Times New Roman"/>
          <w:color w:val="000000"/>
          <w:sz w:val="20"/>
        </w:rPr>
        <w:t xml:space="preserve">We are subject to the reporting requirements of the Exchange Act and file annual, quarterly and current reports, proxy statements and other information with the SEC. You can read our SEC filings, including the registration statement, over the Internet at the SEC’s website at </w:t>
      </w:r>
      <w:r>
        <w:rPr>
          <w:rFonts w:ascii="Times New Roman" w:hAnsi="Times New Roman"/>
          <w:i/>
          <w:color w:val="000000"/>
          <w:sz w:val="20"/>
        </w:rPr>
        <w:t>http://www.sec.gov</w:t>
      </w:r>
      <w:r>
        <w:rPr>
          <w:rFonts w:ascii="Times New Roman" w:hAnsi="Times New Roman"/>
          <w:color w:val="000000"/>
          <w:sz w:val="20"/>
        </w:rPr>
        <w:t xml:space="preserve">. We also maintain a website at </w:t>
      </w:r>
      <w:r>
        <w:rPr>
          <w:rFonts w:ascii="Times New Roman" w:hAnsi="Times New Roman"/>
          <w:i/>
          <w:color w:val="000000"/>
          <w:sz w:val="20"/>
        </w:rPr>
        <w:t>www.cardiffoncology.com</w:t>
      </w:r>
      <w:r>
        <w:rPr>
          <w:rFonts w:ascii="Times New Roman" w:hAnsi="Times New Roman"/>
          <w:color w:val="000000"/>
          <w:sz w:val="20"/>
        </w:rPr>
        <w:t>,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may also read and copy any document we file with the SEC at its public reference facilities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or telephoning us at: 11055 Flintkote Avenue, San Diego, California, 92121, (858) 952-7570.</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section18"/>
      <w:bookmarkEnd w:id="34"/>
      <w:r>
        <w:rPr>
          <w:rFonts w:ascii="Times New Roman" w:hAnsi="Times New Roman"/>
          <w:b/>
          <w:color w:val="000000"/>
          <w:sz w:val="20"/>
        </w:rPr>
        <w:t>INCORPORATION OF DOCUMENTS BY REFERENCE</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supplement. Information that is incorporated by reference is considered to be part of this prospectus supplement and you should read it with the same care that you read this prospectus supplement and the accompanying prospectus. Information that we file later with the SEC will automatically update and supersede the information that is either contained, or incorporated by reference, in this prospectus supplement, and will be considered to be a part of this prospectus supplement from the date those documents are filed.</w:t>
      </w:r>
    </w:p>
    <w:p>
      <w:pPr>
        <w:pStyle w:val="TextBody"/>
        <w:bidi w:val="0"/>
        <w:jc w:val="both"/>
        <w:rPr>
          <w:rFonts w:ascii="Times New Roman" w:hAnsi="Times New Roman"/>
          <w:color w:val="000000"/>
          <w:sz w:val="20"/>
        </w:rPr>
      </w:pPr>
      <w:r>
        <w:rPr>
          <w:rFonts w:ascii="Times New Roman" w:hAnsi="Times New Roman"/>
          <w:color w:val="000000"/>
          <w:sz w:val="20"/>
        </w:rPr>
        <w:t>We incorporate by reference the documents listed below, all filings filed by us pursuant to the Exchange Act after the date of the registration statement of which this prospectus supplement and the accompanying prospectus forms a part, and any future filings we make with the SEC under Sections 13(a), 13(c), 14 or 15(d) of the Exchange Act prior to the time that all securities covered by this prospectus supplement have been sold; provided, however, that we are not incorporating any information furnished under either Item 2.02 or Item 7.01 of any current report on Form 8-K:</w:t>
      </w:r>
    </w:p>
    <w:p>
      <w:pPr>
        <w:pStyle w:val="TextBody"/>
        <w:bidi w:val="0"/>
        <w:spacing w:before="0" w:after="0"/>
        <w:jc w:val="both"/>
        <w:rPr>
          <w:color w:val="000000"/>
        </w:rPr>
      </w:pPr>
      <w:r>
        <w:rPr>
          <w:color w:val="000000"/>
        </w:rPr>
        <w:t>•</w:t>
      </w:r>
    </w:p>
    <w:p>
      <w:pPr>
        <w:pStyle w:val="TextBody"/>
        <w:bidi w:val="0"/>
        <w:jc w:val="both"/>
        <w:rPr/>
      </w:pPr>
      <w:hyperlink r:id="rId15">
        <w:r>
          <w:rPr>
            <w:rStyle w:val="InternetLink"/>
            <w:rFonts w:ascii="Times New Roman" w:hAnsi="Times New Roman"/>
            <w:color w:val="0000FF"/>
            <w:sz w:val="20"/>
            <w:u w:val="single"/>
          </w:rPr>
          <w:t>our Annual Report on Form 10-K for the year ended December 31, 2024 filed with the SEC on February 27, 2025</w:t>
        </w:r>
      </w:hyperlink>
      <w:r>
        <w:rPr>
          <w:rFonts w:ascii="Times New Roman" w:hAnsi="Times New Roman"/>
          <w:color w:val="000000"/>
          <w:sz w:val="20"/>
        </w:rPr>
        <w:t>;</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Quarterly Report on Form 10-Q for the three months ended March 31, 2025 filed with the SEC on </w:t>
      </w:r>
      <w:hyperlink r:id="rId16">
        <w:r>
          <w:rPr>
            <w:rStyle w:val="InternetLink"/>
            <w:rFonts w:ascii="Times New Roman" w:hAnsi="Times New Roman"/>
            <w:color w:val="0000FF"/>
            <w:sz w:val="20"/>
            <w:u w:val="single"/>
          </w:rPr>
          <w:t>May 8, 2025</w:t>
        </w:r>
      </w:hyperlink>
      <w:r>
        <w:rPr>
          <w:rFonts w:ascii="Times New Roman" w:hAnsi="Times New Roman"/>
          <w:color w:val="000000"/>
          <w:sz w:val="20"/>
        </w:rPr>
        <w: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our Current Report on Form 8-K filed with the SEC on </w:t>
      </w:r>
      <w:hyperlink r:id="rId17">
        <w:r>
          <w:rPr>
            <w:rStyle w:val="InternetLink"/>
            <w:rFonts w:ascii="Times New Roman" w:hAnsi="Times New Roman"/>
            <w:color w:val="0000FF"/>
            <w:sz w:val="20"/>
            <w:u w:val="single"/>
          </w:rPr>
          <w:t>January 6, 2025</w:t>
        </w:r>
      </w:hyperlink>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hyperlink r:id="rId18">
        <w:r>
          <w:rPr>
            <w:rStyle w:val="InternetLink"/>
            <w:rFonts w:ascii="Times New Roman" w:hAnsi="Times New Roman"/>
            <w:color w:val="0000FF"/>
            <w:sz w:val="20"/>
            <w:u w:val="single"/>
          </w:rPr>
          <w:t>our definitive proxy statement filed with the SEC on April 29, 2025</w:t>
        </w:r>
      </w:hyperlink>
      <w:r>
        <w:rPr>
          <w:rFonts w:ascii="Times New Roman" w:hAnsi="Times New Roman"/>
          <w:color w:val="000000"/>
          <w:sz w:val="20"/>
        </w:rPr>
        <w:t>;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hyperlink r:id="rId19">
        <w:r>
          <w:rPr>
            <w:rStyle w:val="InternetLink"/>
            <w:rFonts w:ascii="Times New Roman" w:hAnsi="Times New Roman"/>
            <w:color w:val="0000FF"/>
            <w:sz w:val="20"/>
            <w:u w:val="single"/>
          </w:rPr>
          <w:t>the description of our common stock contained in our Registration Statement on Form 8-A filed with the SEC on May 23, 2012, including any amendments or reports filed with the SEC for the purposes of updating such description</w:t>
        </w:r>
      </w:hyperlink>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Any statements made in a document incorporated by reference in this prospectus supplement are deemed to be modified or superseded for purposes of this prospectus supplement to the extent that a statement in this prospectus supplement or in any other subsequently filed document, which is also incorporated by reference, modifies or supersedes the statement. Any statement made in this prospectus supplement is deemed to be modified or superseded to the extent a statement in any subsequently filed document, which is incorporated by reference in this prospectus supplement, modifies or supersedes such statement. Any statement so modified or superseded will not be deemed, except as so modified or superseded, to constitute a part of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The information relating to us contained in this prospectus supplement should be read together with the information in the documents incorporated by reference. In addition, certain information, including financial information, contained in this prospectus or incorporated by reference in this prospectus should be read in conjunction with documents we have filed with the SEC.</w:t>
      </w:r>
    </w:p>
    <w:p>
      <w:pPr>
        <w:pStyle w:val="TextBody"/>
        <w:bidi w:val="0"/>
        <w:jc w:val="both"/>
        <w:rPr>
          <w:rFonts w:ascii="Times New Roman" w:hAnsi="Times New Roman"/>
          <w:color w:val="000000"/>
          <w:sz w:val="20"/>
        </w:rPr>
      </w:pPr>
      <w:r>
        <w:rPr>
          <w:rFonts w:ascii="Times New Roman" w:hAnsi="Times New Roman"/>
          <w:color w:val="000000"/>
          <w:sz w:val="20"/>
        </w:rPr>
        <w:t>We will provide to each person, including any beneficial holder, to whom a prospectus is delivered, at no cost, upon written or oral request, a copy of any or all of the information that has been incorporated by reference in the prospectus but not delivered with the prospectus. Requests for documents should be by writing to or telephoning us at the following address: Cardiff Oncology, Inc., 11055 Flintkote Avenue, San Diego, CA 92121; (858) 952-7570. Exhibits to these filings will not be sent unless those exhibits have been specifically incorporated by reference in such filings.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5" w:name="section35"/>
      <w:bookmarkEnd w:id="35"/>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left"/>
        <w:rPr/>
      </w:pPr>
      <w:r>
        <w:rPr/>
        <w:t> </w:t>
      </w:r>
    </w:p>
    <w:p>
      <w:pPr>
        <w:pStyle w:val="TextBody"/>
        <w:bidi w:val="0"/>
        <w:jc w:val="center"/>
        <w:rPr/>
      </w:pPr>
      <w:r>
        <w:rPr/>
        <w:drawing>
          <wp:inline distT="0" distB="0" distL="0" distR="0">
            <wp:extent cx="2381250"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2381250" cy="6381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9,293,078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Common Warrants to Purchase 9,293,078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(and the 9,293,078 shares of Common Stock underlying the Common Warrants)</w:t>
      </w:r>
    </w:p>
    <w:p>
      <w:pPr>
        <w:pStyle w:val="TextBody"/>
        <w:bidi w:val="0"/>
        <w:jc w:val="center"/>
        <w:rPr>
          <w:rFonts w:ascii="Times New Roman" w:hAnsi="Times New Roman"/>
          <w:b/>
          <w:color w:val="000000"/>
          <w:sz w:val="20"/>
        </w:rPr>
      </w:pPr>
      <w:r>
        <w:rPr>
          <w:rFonts w:ascii="Times New Roman" w:hAnsi="Times New Roman"/>
          <w:b/>
          <w:color w:val="000000"/>
          <w:sz w:val="20"/>
        </w:rPr>
        <w:t>Placement Agent Warrants to Purchase 464,654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(and the 464,654 shares of Common Stock underlying the Placement Agent Warrants)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jc w:val="center"/>
        <w:rPr>
          <w:rFonts w:ascii="Times New Roman" w:hAnsi="Times New Roman"/>
          <w:b/>
          <w:color w:val="000000"/>
          <w:sz w:val="32"/>
        </w:rPr>
      </w:pPr>
      <w:r>
        <w:rPr>
          <w:rFonts w:ascii="Times New Roman" w:hAnsi="Times New Roman"/>
          <w:b/>
          <w:color w:val="000000"/>
          <w:sz w:val="32"/>
        </w:rPr>
        <w:t>H.C. Wainwright &amp; Co.</w:t>
      </w:r>
    </w:p>
    <w:p>
      <w:pPr>
        <w:pStyle w:val="TextBody"/>
        <w:bidi w:val="0"/>
        <w:jc w:val="center"/>
        <w:rPr>
          <w:rFonts w:ascii="Times New Roman" w:hAnsi="Times New Roman"/>
          <w:b/>
          <w:color w:val="000000"/>
          <w:sz w:val="20"/>
        </w:rPr>
      </w:pPr>
      <w:r>
        <w:rPr>
          <w:rFonts w:ascii="Times New Roman" w:hAnsi="Times New Roman"/>
          <w:b/>
          <w:color w:val="000000"/>
          <w:sz w:val="20"/>
        </w:rPr>
        <w:t>July 14,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13037/000119312526067464/crdf-20251231.htm" TargetMode="External"/><Relationship Id="rId4" Type="http://schemas.openxmlformats.org/officeDocument/2006/relationships/hyperlink" Target="https://www.sec.gov/Archives/edgar/data/1213037/000121303726000011/crdf-20260331.htm" TargetMode="External"/><Relationship Id="rId5" Type="http://schemas.openxmlformats.org/officeDocument/2006/relationships/hyperlink" Target="https://www.sec.gov/Archives/edgar/data/1213037/000119312526024375/crdf-20260127.htm" TargetMode="External"/><Relationship Id="rId6" Type="http://schemas.openxmlformats.org/officeDocument/2006/relationships/hyperlink" Target="https://www.sec.gov/Archives/edgar/data/1213037/000119312526140152/crdf-20260327.htm" TargetMode="External"/><Relationship Id="rId7" Type="http://schemas.openxmlformats.org/officeDocument/2006/relationships/hyperlink" Target="https://www.sec.gov/Archives/edgar/data/1213037/000119312526149623/crdf-20260406.htm" TargetMode="External"/><Relationship Id="rId8" Type="http://schemas.openxmlformats.org/officeDocument/2006/relationships/hyperlink" Target="https://www.sec.gov/Archives/edgar/data/1213037/000119312526231040/crdf-20260519.htm" TargetMode="External"/><Relationship Id="rId9" Type="http://schemas.openxmlformats.org/officeDocument/2006/relationships/hyperlink" Target="https://www.sec.gov/Archives/edgar/data/1213037/000119312526248711/crdf-20260527.htm" TargetMode="External"/><Relationship Id="rId10" Type="http://schemas.openxmlformats.org/officeDocument/2006/relationships/hyperlink" Target="https://www.sec.gov/Archives/edgar/data/1213037/000119312526267563/crdf-20260611.htm" TargetMode="External"/><Relationship Id="rId11" Type="http://schemas.openxmlformats.org/officeDocument/2006/relationships/hyperlink" Target="https://www.sec.gov/Archives/edgar/data/1213037/000121303726000006/0001213037-26-000006-index.html" TargetMode="External"/><Relationship Id="rId12" Type="http://schemas.openxmlformats.org/officeDocument/2006/relationships/hyperlink" Target="https://www.sec.gov/Archives/edgar/data/1213037/000110465912039425/a12-9768_98a12b.htm" TargetMode="External"/><Relationship Id="rId13" Type="http://schemas.openxmlformats.org/officeDocument/2006/relationships/image" Target="media/image2.jpeg"/><Relationship Id="rId14" Type="http://schemas.openxmlformats.org/officeDocument/2006/relationships/image" Target="media/image3.gif"/><Relationship Id="rId15" Type="http://schemas.openxmlformats.org/officeDocument/2006/relationships/hyperlink" Target="https://www.sec.gov/Archives/edgar/data/1213037/000095017025028992/crdf-20241231.htm" TargetMode="External"/><Relationship Id="rId16" Type="http://schemas.openxmlformats.org/officeDocument/2006/relationships/hyperlink" Target="https://www.sec.gov/ix?doc=/Archives/edgar/data/1213037/000095017025066886/crdf-20250331.htm" TargetMode="External"/><Relationship Id="rId17" Type="http://schemas.openxmlformats.org/officeDocument/2006/relationships/hyperlink" Target="https://www.sec.gov/ix?doc=/Archives/edgar/data/1213037/000095017025002076/crdf-20250103.htm" TargetMode="External"/><Relationship Id="rId18" Type="http://schemas.openxmlformats.org/officeDocument/2006/relationships/hyperlink" Target="https://www.sec.gov/ix?doc=/Archives/edgar/data/1213037/000095017025060074/crdf-20250429.htm" TargetMode="External"/><Relationship Id="rId19" Type="http://schemas.openxmlformats.org/officeDocument/2006/relationships/hyperlink" Target="https://www.sec.gov/Archives/edgar/data/1213037/000110465912039425/a12-9768_98a12b.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28032</Words>
  <Characters>147992</Characters>
  <CharactersWithSpaces>175412</CharactersWithSpaces>
  <Paragraphs>1321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