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PACE GARY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CARDIFF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11055 FLINTKOTE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Cardiff Oncology, Inc.</w:t>
              </w:r>
            </w:hyperlink>
            <w:r>
              <w:rPr/>
              <w:t xml:space="preserve"> [ </w:t>
            </w:r>
            <w:r>
              <w:rPr>
                <w:rFonts w:ascii="Times;serif" w:hAnsi="Times;serif"/>
                <w:color w:val="0000FF"/>
                <w:sz w:val="24"/>
                <w:shd w:fill="FFFFFF" w:val="clear"/>
              </w:rPr>
              <w:t>CRDF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687,285</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1.455</w:t>
            </w:r>
            <w:r>
              <w:rPr/>
              <w:t xml:space="preserve"> </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2,043,661</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Purchase 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687,285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687,285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Exercisable beginning on the later of (i) six months after issuance or (ii) the Authorized Share Increase Date (the "Initial Exercise Date"). "Authorized Share Increase Date" means the date on which an amendment to the Issuer's certificate of incorporation increasing the number of authorized shares of its common stock to an amount sufficient for the exercise in full of the Common Warrants is filed with and accepted by the State of Delaware, subject to approval of such amendment by its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of exercise is equal to five and one-half years after the Initial Exercise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Pace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4778" TargetMode="External"/><Relationship Id="rId5" Type="http://schemas.openxmlformats.org/officeDocument/2006/relationships/hyperlink" Target="http://www.sec.gov/cgi-bin/browse-edgar?action=getcompany&amp;CIK=00012130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3619</Characters>
  <CharactersWithSpaces>4225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